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9E" w:rsidRPr="0069570E" w:rsidRDefault="0049215B">
      <w:pPr>
        <w:rPr>
          <w:b/>
          <w:lang w:val="en-US"/>
        </w:rPr>
      </w:pPr>
      <w:r w:rsidRPr="0069570E">
        <w:rPr>
          <w:b/>
          <w:lang w:val="en-US"/>
        </w:rPr>
        <w:t>MINISTRY OF HEALTH</w:t>
      </w:r>
      <w:r w:rsidRPr="0069570E">
        <w:rPr>
          <w:b/>
          <w:lang w:val="en-US"/>
        </w:rPr>
        <w:tab/>
      </w:r>
      <w:r w:rsidRPr="0069570E">
        <w:rPr>
          <w:b/>
          <w:lang w:val="en-US"/>
        </w:rPr>
        <w:tab/>
      </w:r>
      <w:r w:rsidRPr="0069570E">
        <w:rPr>
          <w:b/>
          <w:lang w:val="en-US"/>
        </w:rPr>
        <w:tab/>
      </w:r>
      <w:r w:rsidRPr="0069570E">
        <w:rPr>
          <w:b/>
          <w:lang w:val="en-US"/>
        </w:rPr>
        <w:tab/>
      </w:r>
      <w:r w:rsidRPr="0069570E">
        <w:rPr>
          <w:b/>
          <w:lang w:val="en-US"/>
        </w:rPr>
        <w:tab/>
        <w:t>ALL FOR A NEW COUNTRY</w:t>
      </w:r>
    </w:p>
    <w:p w:rsidR="0049215B" w:rsidRDefault="0049215B" w:rsidP="0049215B">
      <w:pPr>
        <w:jc w:val="center"/>
        <w:rPr>
          <w:b/>
          <w:lang w:val="en-US"/>
        </w:rPr>
      </w:pPr>
      <w:r w:rsidRPr="0069570E">
        <w:rPr>
          <w:b/>
          <w:lang w:val="en-US"/>
        </w:rPr>
        <w:t>CIRCULAR NO. 000018 OF 2017</w:t>
      </w:r>
    </w:p>
    <w:p w:rsidR="0069570E" w:rsidRPr="0069570E" w:rsidRDefault="0069570E" w:rsidP="0049215B">
      <w:pPr>
        <w:jc w:val="center"/>
        <w:rPr>
          <w:b/>
          <w:lang w:val="en-US"/>
        </w:rPr>
      </w:pPr>
    </w:p>
    <w:p w:rsidR="0049215B" w:rsidRDefault="0049215B" w:rsidP="0049215B">
      <w:pPr>
        <w:ind w:left="1416" w:hanging="1416"/>
        <w:jc w:val="both"/>
        <w:rPr>
          <w:lang w:val="en-US"/>
        </w:rPr>
      </w:pPr>
      <w:r>
        <w:rPr>
          <w:lang w:val="en-US"/>
        </w:rPr>
        <w:t>TO:</w:t>
      </w:r>
      <w:r>
        <w:rPr>
          <w:lang w:val="en-US"/>
        </w:rPr>
        <w:tab/>
        <w:t>GOVERNORS, CITY MAYORS, DEPARTMENT, DISTRICT AND MUNICIPAL SECRETARIES OF HEALTH, MANAGER COMPANIES OF BENEFIT PLANS – EAPB, MANAGERS OF SPECIAL REGIMES AND OF EXCEPTION, INSTITUTIONS PROVIDING HEALTH SERVICES – IPS, ENTRY POINTS, GENERAL MARITIME DIRECTORATE – DIMAR, NATIONAL AND INTERNATIONAL AIRLINES AND GENERAL COMMUNITY</w:t>
      </w:r>
    </w:p>
    <w:p w:rsidR="0069570E" w:rsidRDefault="0069570E" w:rsidP="0049215B">
      <w:pPr>
        <w:ind w:left="1416" w:hanging="1416"/>
        <w:jc w:val="both"/>
        <w:rPr>
          <w:lang w:val="en-US"/>
        </w:rPr>
      </w:pPr>
    </w:p>
    <w:p w:rsidR="0049215B" w:rsidRDefault="0049215B" w:rsidP="0049215B">
      <w:pPr>
        <w:jc w:val="both"/>
        <w:rPr>
          <w:lang w:val="en-US"/>
        </w:rPr>
      </w:pPr>
      <w:r>
        <w:rPr>
          <w:lang w:val="en-US"/>
        </w:rPr>
        <w:t>FROM:</w:t>
      </w:r>
      <w:r>
        <w:rPr>
          <w:lang w:val="en-US"/>
        </w:rPr>
        <w:tab/>
      </w:r>
      <w:r>
        <w:rPr>
          <w:lang w:val="en-US"/>
        </w:rPr>
        <w:tab/>
        <w:t>MINISTRY OF HEALTH AND SOCIAL PROTECTION</w:t>
      </w:r>
    </w:p>
    <w:p w:rsidR="0069570E" w:rsidRDefault="0069570E" w:rsidP="0049215B">
      <w:pPr>
        <w:jc w:val="both"/>
        <w:rPr>
          <w:lang w:val="en-US"/>
        </w:rPr>
      </w:pPr>
    </w:p>
    <w:p w:rsidR="0049215B" w:rsidRDefault="0049215B" w:rsidP="0049215B">
      <w:pPr>
        <w:ind w:left="1410" w:hanging="1410"/>
        <w:jc w:val="both"/>
        <w:rPr>
          <w:lang w:val="en-US"/>
        </w:rPr>
      </w:pPr>
      <w:r>
        <w:rPr>
          <w:lang w:val="en-US"/>
        </w:rPr>
        <w:t>SUBJECT:</w:t>
      </w:r>
      <w:r>
        <w:rPr>
          <w:lang w:val="en-US"/>
        </w:rPr>
        <w:tab/>
        <w:t>UPDATE OF CIRCULAR NO. 014 OF MARCH 1, 2017 “GUIDELINES FOR THE CONTROL OF YELLOW FEVER AND DEMAND OF INTERNATIONAL CERTIFICATE OR NATIONAL VACCINATION CARD</w:t>
      </w:r>
    </w:p>
    <w:p w:rsidR="0069570E" w:rsidRDefault="0069570E" w:rsidP="0049215B">
      <w:pPr>
        <w:ind w:left="1410" w:hanging="1410"/>
        <w:jc w:val="both"/>
        <w:rPr>
          <w:lang w:val="en-US"/>
        </w:rPr>
      </w:pPr>
    </w:p>
    <w:p w:rsidR="0049215B" w:rsidRDefault="0049215B" w:rsidP="0049215B">
      <w:pPr>
        <w:ind w:left="1410" w:hanging="1410"/>
        <w:jc w:val="both"/>
        <w:rPr>
          <w:lang w:val="en-US"/>
        </w:rPr>
      </w:pPr>
      <w:r>
        <w:rPr>
          <w:lang w:val="en-US"/>
        </w:rPr>
        <w:t>DATE:</w:t>
      </w:r>
      <w:r>
        <w:rPr>
          <w:lang w:val="en-US"/>
        </w:rPr>
        <w:tab/>
        <w:t>March 29, 2017</w:t>
      </w:r>
    </w:p>
    <w:p w:rsidR="0049215B" w:rsidRDefault="0049215B" w:rsidP="0049215B">
      <w:pPr>
        <w:jc w:val="both"/>
        <w:rPr>
          <w:lang w:val="en-US"/>
        </w:rPr>
      </w:pPr>
    </w:p>
    <w:p w:rsidR="00BE0538" w:rsidRDefault="0049215B" w:rsidP="0049215B">
      <w:pPr>
        <w:jc w:val="both"/>
        <w:rPr>
          <w:lang w:val="en-US"/>
        </w:rPr>
      </w:pPr>
      <w:r>
        <w:rPr>
          <w:lang w:val="en-US"/>
        </w:rPr>
        <w:t>According to international alert on yellow fever issued by the World Health Organization (WHO) and Pan-American Health Organization (PAHO) and considering the need to update the global epidemiological situation, the Ministry of Health and Social Protection</w:t>
      </w:r>
      <w:r w:rsidR="00BE0538">
        <w:rPr>
          <w:lang w:val="en-US"/>
        </w:rPr>
        <w:t xml:space="preserve"> determines the countries from which the international yellow fever certificate will be requested, as per Attachment 7 of the International Health Regulation RSI 2005, and states the locations of risk in the national territory, considering that:</w:t>
      </w:r>
    </w:p>
    <w:p w:rsidR="00BE0538" w:rsidRDefault="00BE0538" w:rsidP="0049215B">
      <w:pPr>
        <w:jc w:val="both"/>
        <w:rPr>
          <w:rFonts w:cstheme="minorHAnsi"/>
          <w:lang w:val="en-US"/>
        </w:rPr>
      </w:pPr>
      <w:r>
        <w:rPr>
          <w:lang w:val="en-US"/>
        </w:rPr>
        <w:t xml:space="preserve">With regards to the global situation, since the beginning of the outbreak of yellow fever from December, 2016 until March, 2017, in Brazil 1,561 cases of yellow fever were registered, out of which 28.7% were confirmed (n= 448). A total of 16.9% were </w:t>
      </w:r>
      <w:r w:rsidR="0069570E">
        <w:rPr>
          <w:lang w:val="en-US"/>
        </w:rPr>
        <w:t>discarded (n = 263) and 54.4% (n = 850) suspicious cases are still under investigation, accounting for 264 deaths (144 confirmed, 10 discarded and 110 under investigation). The fatality rate among confirmed cases is 32%.</w:t>
      </w:r>
      <w:r w:rsidR="0069570E">
        <w:rPr>
          <w:rFonts w:cstheme="minorHAnsi"/>
          <w:lang w:val="en-US"/>
        </w:rPr>
        <w:t>¹</w:t>
      </w:r>
    </w:p>
    <w:p w:rsidR="0069570E" w:rsidRDefault="0069570E" w:rsidP="0049215B">
      <w:pPr>
        <w:jc w:val="both"/>
        <w:rPr>
          <w:lang w:val="en-US"/>
        </w:rPr>
      </w:pPr>
      <w:r>
        <w:rPr>
          <w:rFonts w:cstheme="minorHAnsi"/>
          <w:lang w:val="en-US"/>
        </w:rPr>
        <w:t>In Colombia, by the end of 2016, seven (7) cases were confirmed by laboratory, out of which six (6) patients died, including one arriving from Caballococha, Peru. The fatality rate was 86%. As of March 18, 2017, no new cases have been confirmed.</w:t>
      </w:r>
    </w:p>
    <w:p w:rsidR="0069570E" w:rsidRDefault="0069570E" w:rsidP="0049215B">
      <w:pPr>
        <w:jc w:val="both"/>
        <w:rPr>
          <w:lang w:val="en-US"/>
        </w:rPr>
      </w:pPr>
    </w:p>
    <w:p w:rsidR="0069570E" w:rsidRDefault="0069570E" w:rsidP="0049215B">
      <w:pPr>
        <w:jc w:val="both"/>
        <w:rPr>
          <w:rFonts w:cstheme="minorHAnsi"/>
          <w:sz w:val="16"/>
          <w:szCs w:val="16"/>
          <w:lang w:val="en-US"/>
        </w:rPr>
      </w:pPr>
      <w:r>
        <w:rPr>
          <w:rFonts w:cstheme="minorHAnsi"/>
          <w:lang w:val="en-US"/>
        </w:rPr>
        <w:t xml:space="preserve">¹ </w:t>
      </w:r>
      <w:r w:rsidRPr="0069570E">
        <w:rPr>
          <w:rFonts w:cstheme="minorHAnsi"/>
          <w:sz w:val="16"/>
          <w:szCs w:val="16"/>
          <w:lang w:val="en-US"/>
        </w:rPr>
        <w:t>Pan-American Health Organization / World Health Organization. Epidemiological Update. Yellow fever. March 23, 2017. Washington, D.C. PAHO/WHO. 2017</w:t>
      </w:r>
    </w:p>
    <w:p w:rsidR="0069570E" w:rsidRDefault="0069570E" w:rsidP="0049215B">
      <w:pPr>
        <w:jc w:val="both"/>
        <w:rPr>
          <w:rFonts w:cstheme="minorHAnsi"/>
          <w:sz w:val="16"/>
          <w:szCs w:val="16"/>
          <w:lang w:val="en-US"/>
        </w:rPr>
      </w:pPr>
    </w:p>
    <w:p w:rsidR="0069570E" w:rsidRDefault="0069570E" w:rsidP="0049215B">
      <w:pPr>
        <w:jc w:val="both"/>
        <w:rPr>
          <w:rFonts w:cstheme="minorHAnsi"/>
          <w:sz w:val="16"/>
          <w:szCs w:val="16"/>
          <w:lang w:val="en-US"/>
        </w:rPr>
      </w:pPr>
    </w:p>
    <w:p w:rsidR="0069570E" w:rsidRDefault="0069570E" w:rsidP="0049215B">
      <w:pPr>
        <w:jc w:val="both"/>
        <w:rPr>
          <w:rFonts w:cstheme="minorHAnsi"/>
          <w:lang w:val="en-US"/>
        </w:rPr>
      </w:pPr>
      <w:r>
        <w:rPr>
          <w:rFonts w:cstheme="minorHAnsi"/>
          <w:lang w:val="en-US"/>
        </w:rPr>
        <w:lastRenderedPageBreak/>
        <w:t>Under the above mentioned context, it is determined that all travelers coming from Angola, Democratic Republic of Congo, Uganda and Brazil, must present the Yellow Fever International Certificate in order to enter Colombia.</w:t>
      </w:r>
    </w:p>
    <w:p w:rsidR="0069570E" w:rsidRDefault="0069570E" w:rsidP="0049215B">
      <w:pPr>
        <w:jc w:val="both"/>
        <w:rPr>
          <w:rFonts w:cstheme="minorHAnsi"/>
          <w:lang w:val="en-US"/>
        </w:rPr>
      </w:pPr>
      <w:r>
        <w:rPr>
          <w:rFonts w:cstheme="minorHAnsi"/>
          <w:lang w:val="en-US"/>
        </w:rPr>
        <w:t xml:space="preserve">On the other hand, </w:t>
      </w:r>
      <w:r>
        <w:rPr>
          <w:rFonts w:cstheme="minorHAnsi"/>
          <w:b/>
          <w:lang w:val="en-US"/>
        </w:rPr>
        <w:t xml:space="preserve">it is recommended </w:t>
      </w:r>
      <w:r>
        <w:rPr>
          <w:rFonts w:cstheme="minorHAnsi"/>
          <w:lang w:val="en-US"/>
        </w:rPr>
        <w:t>to national and international travelers visiting the following high risk locations, that at least ten (10) days before their trip, they get the yellow fever vaccine</w:t>
      </w:r>
      <w:r w:rsidR="002D6576">
        <w:rPr>
          <w:rFonts w:cstheme="minorHAnsi"/>
          <w:lang w:val="en-US"/>
        </w:rPr>
        <w:t>. Additionally, it is recommended to use repellent, long sleeve shirts, long pants and</w:t>
      </w:r>
      <w:r w:rsidR="0091083D">
        <w:rPr>
          <w:rFonts w:cstheme="minorHAnsi"/>
          <w:lang w:val="en-US"/>
        </w:rPr>
        <w:t xml:space="preserve"> insecticide</w:t>
      </w:r>
      <w:r w:rsidR="002D6576">
        <w:rPr>
          <w:rFonts w:cstheme="minorHAnsi"/>
          <w:lang w:val="en-US"/>
        </w:rPr>
        <w:t xml:space="preserve"> </w:t>
      </w:r>
      <w:r w:rsidR="0091083D">
        <w:rPr>
          <w:rFonts w:cstheme="minorHAnsi"/>
          <w:lang w:val="en-US"/>
        </w:rPr>
        <w:t xml:space="preserve">bed nets to avoid mosquito bites. </w:t>
      </w:r>
    </w:p>
    <w:p w:rsidR="00091B84" w:rsidRPr="00091B84" w:rsidRDefault="00091B84" w:rsidP="00091B84">
      <w:pPr>
        <w:pStyle w:val="Sinespaciado"/>
        <w:jc w:val="center"/>
        <w:rPr>
          <w:b/>
          <w:lang w:val="en-US"/>
        </w:rPr>
      </w:pPr>
      <w:r w:rsidRPr="00091B84">
        <w:rPr>
          <w:b/>
          <w:lang w:val="en-US"/>
        </w:rPr>
        <w:t>Municipalities with Malaria Risk due to Viral Circulation or Ecological Relation –</w:t>
      </w:r>
    </w:p>
    <w:p w:rsidR="0091083D" w:rsidRPr="00091B84" w:rsidRDefault="00091B84" w:rsidP="00091B84">
      <w:pPr>
        <w:pStyle w:val="Sinespaciado"/>
        <w:jc w:val="center"/>
        <w:rPr>
          <w:b/>
          <w:lang w:val="en-US"/>
        </w:rPr>
      </w:pPr>
      <w:r w:rsidRPr="00091B84">
        <w:rPr>
          <w:b/>
          <w:lang w:val="en-US"/>
        </w:rPr>
        <w:t>Colombia, March 2017</w:t>
      </w:r>
    </w:p>
    <w:p w:rsidR="0069570E" w:rsidRDefault="0069570E" w:rsidP="00091B84">
      <w:pPr>
        <w:pStyle w:val="Sinespaciado"/>
        <w:jc w:val="center"/>
        <w:rPr>
          <w:b/>
          <w:sz w:val="16"/>
          <w:szCs w:val="16"/>
          <w:lang w:val="en-US"/>
        </w:rPr>
      </w:pPr>
    </w:p>
    <w:tbl>
      <w:tblPr>
        <w:tblStyle w:val="Tablaconcuadrcula"/>
        <w:tblW w:w="0" w:type="auto"/>
        <w:tblLook w:val="04A0" w:firstRow="1" w:lastRow="0" w:firstColumn="1" w:lastColumn="0" w:noHBand="0" w:noVBand="1"/>
      </w:tblPr>
      <w:tblGrid>
        <w:gridCol w:w="1696"/>
        <w:gridCol w:w="7132"/>
      </w:tblGrid>
      <w:tr w:rsidR="00091B84" w:rsidTr="00091B84">
        <w:tc>
          <w:tcPr>
            <w:tcW w:w="1696" w:type="dxa"/>
          </w:tcPr>
          <w:p w:rsidR="00091B84" w:rsidRPr="00091B84" w:rsidRDefault="00091B84" w:rsidP="00091B84">
            <w:pPr>
              <w:pStyle w:val="Sinespaciado"/>
              <w:jc w:val="center"/>
              <w:rPr>
                <w:b/>
                <w:lang w:val="en-US"/>
              </w:rPr>
            </w:pPr>
            <w:r w:rsidRPr="00091B84">
              <w:rPr>
                <w:b/>
                <w:lang w:val="en-US"/>
              </w:rPr>
              <w:t>Department</w:t>
            </w:r>
          </w:p>
        </w:tc>
        <w:tc>
          <w:tcPr>
            <w:tcW w:w="7132" w:type="dxa"/>
          </w:tcPr>
          <w:p w:rsidR="00091B84" w:rsidRPr="00091B84" w:rsidRDefault="00091B84" w:rsidP="00091B84">
            <w:pPr>
              <w:pStyle w:val="Sinespaciado"/>
              <w:jc w:val="center"/>
              <w:rPr>
                <w:b/>
                <w:lang w:val="en-US"/>
              </w:rPr>
            </w:pPr>
            <w:r w:rsidRPr="00091B84">
              <w:rPr>
                <w:b/>
                <w:lang w:val="en-US"/>
              </w:rPr>
              <w:t>Municipalities</w:t>
            </w:r>
          </w:p>
        </w:tc>
      </w:tr>
      <w:tr w:rsidR="00091B84" w:rsidTr="00091B84">
        <w:tc>
          <w:tcPr>
            <w:tcW w:w="1696" w:type="dxa"/>
          </w:tcPr>
          <w:p w:rsidR="00091B84" w:rsidRPr="00091B84" w:rsidRDefault="00091B84" w:rsidP="00091B84">
            <w:pPr>
              <w:pStyle w:val="Sinespaciado"/>
              <w:jc w:val="both"/>
              <w:rPr>
                <w:b/>
                <w:lang w:val="en-US"/>
              </w:rPr>
            </w:pPr>
            <w:r>
              <w:rPr>
                <w:b/>
                <w:lang w:val="en-US"/>
              </w:rPr>
              <w:t>ANTIOQUIA</w:t>
            </w:r>
          </w:p>
        </w:tc>
        <w:tc>
          <w:tcPr>
            <w:tcW w:w="7132" w:type="dxa"/>
          </w:tcPr>
          <w:p w:rsidR="00091B84" w:rsidRPr="00091B84" w:rsidRDefault="00091B84" w:rsidP="00091B84">
            <w:pPr>
              <w:pStyle w:val="Sinespaciado"/>
              <w:jc w:val="both"/>
              <w:rPr>
                <w:lang w:val="en-US"/>
              </w:rPr>
            </w:pPr>
            <w:r>
              <w:rPr>
                <w:lang w:val="en-US"/>
              </w:rPr>
              <w:t>Dabeiba (rural area), Mutatá (rural area), Turbo and Yondó</w:t>
            </w:r>
          </w:p>
        </w:tc>
      </w:tr>
      <w:tr w:rsidR="00091B84" w:rsidTr="00091B84">
        <w:tc>
          <w:tcPr>
            <w:tcW w:w="1696" w:type="dxa"/>
          </w:tcPr>
          <w:p w:rsidR="00091B84" w:rsidRPr="00091B84" w:rsidRDefault="00091B84" w:rsidP="00091B84">
            <w:pPr>
              <w:pStyle w:val="Sinespaciado"/>
              <w:jc w:val="both"/>
              <w:rPr>
                <w:b/>
                <w:lang w:val="en-US"/>
              </w:rPr>
            </w:pPr>
            <w:r>
              <w:rPr>
                <w:b/>
                <w:lang w:val="en-US"/>
              </w:rPr>
              <w:t>GUAJIRA</w:t>
            </w:r>
          </w:p>
        </w:tc>
        <w:tc>
          <w:tcPr>
            <w:tcW w:w="7132" w:type="dxa"/>
          </w:tcPr>
          <w:p w:rsidR="00091B84" w:rsidRPr="00091B84" w:rsidRDefault="00091B84" w:rsidP="00091B84">
            <w:pPr>
              <w:pStyle w:val="Sinespaciado"/>
              <w:jc w:val="both"/>
              <w:rPr>
                <w:lang w:val="en-US"/>
              </w:rPr>
            </w:pPr>
            <w:r>
              <w:rPr>
                <w:lang w:val="en-US"/>
              </w:rPr>
              <w:t>Dibulla, Barrancas (rural area of Perijá Highlands), Fonseca (rural area of Perijá Highlands), San Juan del Cesar (rural area of Perijá Highlands and Santa Marta Sierra Nevada), El Molino (rural area of Perijá Highlands), Villanueva (rural area of Perijá Highlands) and Urumita (rural area of Perijá Highlands), Riohacha (rural area of Santa Marta Sierra Nevada).</w:t>
            </w:r>
          </w:p>
        </w:tc>
      </w:tr>
      <w:tr w:rsidR="00091B84" w:rsidTr="00091B84">
        <w:tc>
          <w:tcPr>
            <w:tcW w:w="1696" w:type="dxa"/>
          </w:tcPr>
          <w:p w:rsidR="00091B84" w:rsidRPr="00091B84" w:rsidRDefault="00091B84" w:rsidP="00091B84">
            <w:pPr>
              <w:pStyle w:val="Sinespaciado"/>
              <w:jc w:val="both"/>
              <w:rPr>
                <w:b/>
                <w:lang w:val="en-US"/>
              </w:rPr>
            </w:pPr>
            <w:r>
              <w:rPr>
                <w:b/>
                <w:lang w:val="en-US"/>
              </w:rPr>
              <w:t>CESAR</w:t>
            </w:r>
          </w:p>
        </w:tc>
        <w:tc>
          <w:tcPr>
            <w:tcW w:w="7132" w:type="dxa"/>
          </w:tcPr>
          <w:p w:rsidR="00091B84" w:rsidRPr="00091B84" w:rsidRDefault="00091B84" w:rsidP="00813DEE">
            <w:pPr>
              <w:pStyle w:val="Sinespaciado"/>
              <w:jc w:val="both"/>
              <w:rPr>
                <w:lang w:val="en-US"/>
              </w:rPr>
            </w:pPr>
            <w:r>
              <w:rPr>
                <w:lang w:val="en-US"/>
              </w:rPr>
              <w:t>Manaure, Balcon del Cesar (ru</w:t>
            </w:r>
            <w:r w:rsidR="00813DEE">
              <w:rPr>
                <w:lang w:val="en-US"/>
              </w:rPr>
              <w:t>r</w:t>
            </w:r>
            <w:r>
              <w:rPr>
                <w:lang w:val="en-US"/>
              </w:rPr>
              <w:t>al area of Perijá Highlands), La Paz Robles (</w:t>
            </w:r>
            <w:r w:rsidR="00813DEE">
              <w:rPr>
                <w:lang w:val="en-US"/>
              </w:rPr>
              <w:t xml:space="preserve">rural area of Perijá), San Diego </w:t>
            </w:r>
            <w:r w:rsidR="00813DEE">
              <w:rPr>
                <w:lang w:val="en-US"/>
              </w:rPr>
              <w:t>(rural area of Perijá</w:t>
            </w:r>
            <w:r w:rsidR="00895021">
              <w:rPr>
                <w:lang w:val="en-US"/>
              </w:rPr>
              <w:t xml:space="preserve"> Highlands</w:t>
            </w:r>
            <w:r w:rsidR="00813DEE">
              <w:rPr>
                <w:lang w:val="en-US"/>
              </w:rPr>
              <w:t>)</w:t>
            </w:r>
            <w:r w:rsidR="00813DEE">
              <w:rPr>
                <w:lang w:val="en-US"/>
              </w:rPr>
              <w:t xml:space="preserve">, Agustin Codazzi </w:t>
            </w:r>
            <w:r w:rsidR="00813DEE">
              <w:rPr>
                <w:lang w:val="en-US"/>
              </w:rPr>
              <w:t>(rural area of Perijá</w:t>
            </w:r>
            <w:r w:rsidR="00895021">
              <w:rPr>
                <w:lang w:val="en-US"/>
              </w:rPr>
              <w:t xml:space="preserve"> Highlands</w:t>
            </w:r>
            <w:r w:rsidR="00813DEE">
              <w:rPr>
                <w:lang w:val="en-US"/>
              </w:rPr>
              <w:t>)</w:t>
            </w:r>
            <w:r w:rsidR="00895021">
              <w:rPr>
                <w:lang w:val="en-US"/>
              </w:rPr>
              <w:t>, Becerril (</w:t>
            </w:r>
            <w:r w:rsidR="00895021">
              <w:rPr>
                <w:lang w:val="en-US"/>
              </w:rPr>
              <w:t>(rural area of Perijá</w:t>
            </w:r>
            <w:r w:rsidR="00895021">
              <w:rPr>
                <w:lang w:val="en-US"/>
              </w:rPr>
              <w:t xml:space="preserve"> Highlands</w:t>
            </w:r>
            <w:r w:rsidR="00895021">
              <w:rPr>
                <w:lang w:val="en-US"/>
              </w:rPr>
              <w:t>)</w:t>
            </w:r>
            <w:r w:rsidR="00895021">
              <w:rPr>
                <w:lang w:val="en-US"/>
              </w:rPr>
              <w:t>, La Jagua de Ibirico (</w:t>
            </w:r>
            <w:r w:rsidR="00895021">
              <w:rPr>
                <w:lang w:val="en-US"/>
              </w:rPr>
              <w:t>(rural area of Perijá</w:t>
            </w:r>
            <w:r w:rsidR="00895021">
              <w:rPr>
                <w:lang w:val="en-US"/>
              </w:rPr>
              <w:t xml:space="preserve"> Highlands</w:t>
            </w:r>
            <w:r w:rsidR="00895021">
              <w:rPr>
                <w:lang w:val="en-US"/>
              </w:rPr>
              <w:t>)</w:t>
            </w:r>
            <w:r w:rsidR="00895021">
              <w:rPr>
                <w:lang w:val="en-US"/>
              </w:rPr>
              <w:t xml:space="preserve">, Chiriguaná </w:t>
            </w:r>
            <w:r w:rsidR="00895021">
              <w:rPr>
                <w:lang w:val="en-US"/>
              </w:rPr>
              <w:t>(rural area of Perijá</w:t>
            </w:r>
            <w:r w:rsidR="00895021">
              <w:rPr>
                <w:lang w:val="en-US"/>
              </w:rPr>
              <w:t xml:space="preserve"> Highlands</w:t>
            </w:r>
            <w:r w:rsidR="00895021">
              <w:rPr>
                <w:lang w:val="en-US"/>
              </w:rPr>
              <w:t>)</w:t>
            </w:r>
            <w:r w:rsidR="00895021">
              <w:rPr>
                <w:lang w:val="en-US"/>
              </w:rPr>
              <w:t xml:space="preserve">, Curumaní </w:t>
            </w:r>
            <w:r w:rsidR="00895021">
              <w:rPr>
                <w:lang w:val="en-US"/>
              </w:rPr>
              <w:t>(rural area of Pe</w:t>
            </w:r>
            <w:r w:rsidR="00895021">
              <w:rPr>
                <w:lang w:val="en-US"/>
              </w:rPr>
              <w:t xml:space="preserve">rijá Highlands), Pailitas </w:t>
            </w:r>
            <w:r w:rsidR="00895021">
              <w:rPr>
                <w:lang w:val="en-US"/>
              </w:rPr>
              <w:t>(rural area of Pe</w:t>
            </w:r>
            <w:r w:rsidR="00895021">
              <w:rPr>
                <w:lang w:val="en-US"/>
              </w:rPr>
              <w:t xml:space="preserve">rijá Highlands), and Pelaya </w:t>
            </w:r>
            <w:r w:rsidR="00895021">
              <w:rPr>
                <w:lang w:val="en-US"/>
              </w:rPr>
              <w:t>(rural area of Pe</w:t>
            </w:r>
            <w:r w:rsidR="00895021">
              <w:rPr>
                <w:lang w:val="en-US"/>
              </w:rPr>
              <w:t>rijá Highlands), Pueblo Bello, Valledupar (rural area of Santa Marta Sierra Nevada)</w:t>
            </w:r>
          </w:p>
        </w:tc>
      </w:tr>
      <w:tr w:rsidR="00091B84" w:rsidRPr="00895021" w:rsidTr="00091B84">
        <w:tc>
          <w:tcPr>
            <w:tcW w:w="1696" w:type="dxa"/>
          </w:tcPr>
          <w:p w:rsidR="00091B84" w:rsidRPr="00091B84" w:rsidRDefault="00895021" w:rsidP="00091B84">
            <w:pPr>
              <w:pStyle w:val="Sinespaciado"/>
              <w:jc w:val="both"/>
              <w:rPr>
                <w:b/>
                <w:lang w:val="en-US"/>
              </w:rPr>
            </w:pPr>
            <w:r>
              <w:rPr>
                <w:b/>
                <w:lang w:val="en-US"/>
              </w:rPr>
              <w:t>CHOCÓ</w:t>
            </w:r>
          </w:p>
        </w:tc>
        <w:tc>
          <w:tcPr>
            <w:tcW w:w="7132" w:type="dxa"/>
          </w:tcPr>
          <w:p w:rsidR="00091B84" w:rsidRPr="00895021" w:rsidRDefault="00895021" w:rsidP="00091B84">
            <w:pPr>
              <w:pStyle w:val="Sinespaciado"/>
              <w:jc w:val="both"/>
            </w:pPr>
            <w:r w:rsidRPr="00895021">
              <w:t>Carmen de Darien, Juradó, Acand</w:t>
            </w:r>
            <w:r>
              <w:t>í, Riosucio, Nuquí y Unguía.</w:t>
            </w:r>
          </w:p>
        </w:tc>
      </w:tr>
      <w:tr w:rsidR="00895021" w:rsidRPr="00895021" w:rsidTr="00091B84">
        <w:tc>
          <w:tcPr>
            <w:tcW w:w="1696" w:type="dxa"/>
          </w:tcPr>
          <w:p w:rsidR="00895021" w:rsidRPr="00895021" w:rsidRDefault="00895021" w:rsidP="00091B84">
            <w:pPr>
              <w:pStyle w:val="Sinespaciado"/>
              <w:jc w:val="both"/>
              <w:rPr>
                <w:b/>
              </w:rPr>
            </w:pPr>
            <w:r>
              <w:rPr>
                <w:b/>
              </w:rPr>
              <w:t>MAGDALENA</w:t>
            </w:r>
          </w:p>
        </w:tc>
        <w:tc>
          <w:tcPr>
            <w:tcW w:w="7132" w:type="dxa"/>
          </w:tcPr>
          <w:p w:rsidR="00895021" w:rsidRPr="00895021" w:rsidRDefault="00895021" w:rsidP="00091B84">
            <w:pPr>
              <w:pStyle w:val="Sinespaciado"/>
              <w:jc w:val="both"/>
            </w:pPr>
            <w:r>
              <w:t>Santa Marta, Aracataca, Ciénaga, Fundación (rural área of Santa Marta Sierra Nevada)</w:t>
            </w:r>
          </w:p>
        </w:tc>
      </w:tr>
      <w:tr w:rsidR="00895021" w:rsidRPr="00895021" w:rsidTr="00091B84">
        <w:tc>
          <w:tcPr>
            <w:tcW w:w="1696" w:type="dxa"/>
          </w:tcPr>
          <w:p w:rsidR="00895021" w:rsidRDefault="00895021" w:rsidP="00091B84">
            <w:pPr>
              <w:pStyle w:val="Sinespaciado"/>
              <w:jc w:val="both"/>
              <w:rPr>
                <w:b/>
              </w:rPr>
            </w:pPr>
            <w:r>
              <w:rPr>
                <w:b/>
              </w:rPr>
              <w:t>NORTE DE SANTANDER</w:t>
            </w:r>
          </w:p>
        </w:tc>
        <w:tc>
          <w:tcPr>
            <w:tcW w:w="7132" w:type="dxa"/>
          </w:tcPr>
          <w:p w:rsidR="00895021" w:rsidRDefault="00895021" w:rsidP="00091B84">
            <w:pPr>
              <w:pStyle w:val="Sinespaciado"/>
              <w:jc w:val="both"/>
            </w:pPr>
            <w:r>
              <w:t>Convención (rural área), El Carmen (rural área), El Tarra, El Zulia (rural área), Hacarí, San Calixto, Sardinata (rural área), Teorama and Tibú (rural área).</w:t>
            </w:r>
          </w:p>
        </w:tc>
      </w:tr>
      <w:tr w:rsidR="00895021" w:rsidRPr="00895021" w:rsidTr="00091B84">
        <w:tc>
          <w:tcPr>
            <w:tcW w:w="1696" w:type="dxa"/>
          </w:tcPr>
          <w:p w:rsidR="00895021" w:rsidRDefault="00895021" w:rsidP="00091B84">
            <w:pPr>
              <w:pStyle w:val="Sinespaciado"/>
              <w:jc w:val="both"/>
              <w:rPr>
                <w:b/>
              </w:rPr>
            </w:pPr>
            <w:r>
              <w:rPr>
                <w:b/>
              </w:rPr>
              <w:t>META</w:t>
            </w:r>
          </w:p>
        </w:tc>
        <w:tc>
          <w:tcPr>
            <w:tcW w:w="7132" w:type="dxa"/>
          </w:tcPr>
          <w:p w:rsidR="00895021" w:rsidRDefault="00895021" w:rsidP="00091B84">
            <w:pPr>
              <w:pStyle w:val="Sinespaciado"/>
              <w:jc w:val="both"/>
            </w:pPr>
            <w:r>
              <w:t>Mapiripan, Mesetas, El Castillo, Granada, La Macarena, La Uribe, Puerto Concordia, Puerto Gaitán, Puerto Rico, San Juan de Arama, and Vista Hermosa.</w:t>
            </w:r>
          </w:p>
        </w:tc>
      </w:tr>
      <w:tr w:rsidR="00895021" w:rsidRPr="00895021" w:rsidTr="00091B84">
        <w:tc>
          <w:tcPr>
            <w:tcW w:w="1696" w:type="dxa"/>
          </w:tcPr>
          <w:p w:rsidR="00895021" w:rsidRDefault="00895021" w:rsidP="00091B84">
            <w:pPr>
              <w:pStyle w:val="Sinespaciado"/>
              <w:jc w:val="both"/>
              <w:rPr>
                <w:b/>
              </w:rPr>
            </w:pPr>
            <w:r>
              <w:rPr>
                <w:b/>
              </w:rPr>
              <w:t>CASANARE</w:t>
            </w:r>
          </w:p>
        </w:tc>
        <w:tc>
          <w:tcPr>
            <w:tcW w:w="7132" w:type="dxa"/>
          </w:tcPr>
          <w:p w:rsidR="00895021" w:rsidRPr="00895021" w:rsidRDefault="00895021" w:rsidP="00091B84">
            <w:pPr>
              <w:pStyle w:val="Sinespaciado"/>
              <w:jc w:val="both"/>
              <w:rPr>
                <w:lang w:val="en-US"/>
              </w:rPr>
            </w:pPr>
            <w:r w:rsidRPr="00895021">
              <w:rPr>
                <w:lang w:val="en-US"/>
              </w:rPr>
              <w:t xml:space="preserve">Maní </w:t>
            </w:r>
            <w:r w:rsidR="00E56E2E">
              <w:rPr>
                <w:lang w:val="en-US"/>
              </w:rPr>
              <w:t>(rural areas of the Meta Riverb</w:t>
            </w:r>
            <w:r w:rsidRPr="00895021">
              <w:rPr>
                <w:lang w:val="en-US"/>
              </w:rPr>
              <w:t>anks), Orocu</w:t>
            </w:r>
            <w:r>
              <w:rPr>
                <w:lang w:val="en-US"/>
              </w:rPr>
              <w:t>é (rural and urban areas of the Meta River</w:t>
            </w:r>
            <w:r w:rsidR="00E56E2E">
              <w:rPr>
                <w:lang w:val="en-US"/>
              </w:rPr>
              <w:t>banks), Paz de Ariporo (rural areas of the Meta Riverbanks), San Luis de Palenque (rural areas of the Meta Riverbanks), Monterrey, Nunchia, Trinidad (</w:t>
            </w:r>
            <w:r w:rsidR="00E56E2E">
              <w:rPr>
                <w:lang w:val="en-US"/>
              </w:rPr>
              <w:t>rural areas of the Meta Riverbanks</w:t>
            </w:r>
            <w:r w:rsidR="00E56E2E">
              <w:rPr>
                <w:lang w:val="en-US"/>
              </w:rPr>
              <w:t>), Pore and Hato Corozal (rural areas of the Meta and Casanare Rivers)</w:t>
            </w:r>
          </w:p>
        </w:tc>
      </w:tr>
    </w:tbl>
    <w:p w:rsidR="00091B84" w:rsidRPr="00895021" w:rsidRDefault="00091B84" w:rsidP="00091B84">
      <w:pPr>
        <w:pStyle w:val="Sinespaciado"/>
        <w:jc w:val="center"/>
        <w:rPr>
          <w:b/>
          <w:sz w:val="16"/>
          <w:szCs w:val="16"/>
          <w:lang w:val="en-US"/>
        </w:rPr>
      </w:pPr>
    </w:p>
    <w:p w:rsidR="0069570E" w:rsidRPr="00895021" w:rsidRDefault="0069570E" w:rsidP="00091B84">
      <w:pPr>
        <w:pStyle w:val="Sinespaciado"/>
        <w:jc w:val="center"/>
        <w:rPr>
          <w:b/>
          <w:sz w:val="16"/>
          <w:szCs w:val="16"/>
          <w:lang w:val="en-US"/>
        </w:rPr>
      </w:pPr>
    </w:p>
    <w:p w:rsidR="0069570E" w:rsidRDefault="00CE346A" w:rsidP="0049215B">
      <w:pPr>
        <w:jc w:val="both"/>
        <w:rPr>
          <w:rFonts w:cstheme="minorHAnsi"/>
          <w:lang w:val="en-US"/>
        </w:rPr>
      </w:pPr>
      <w:r>
        <w:rPr>
          <w:rFonts w:cstheme="minorHAnsi"/>
          <w:lang w:val="en-US"/>
        </w:rPr>
        <w:t>All</w:t>
      </w:r>
      <w:r w:rsidR="00E56E2E">
        <w:rPr>
          <w:rFonts w:cstheme="minorHAnsi"/>
          <w:lang w:val="en-US"/>
        </w:rPr>
        <w:t xml:space="preserve"> municipalities of</w:t>
      </w:r>
      <w:r>
        <w:rPr>
          <w:rFonts w:cstheme="minorHAnsi"/>
          <w:lang w:val="en-US"/>
        </w:rPr>
        <w:t xml:space="preserve"> the Departments of</w:t>
      </w:r>
      <w:r w:rsidR="00E56E2E">
        <w:rPr>
          <w:rFonts w:cstheme="minorHAnsi"/>
          <w:lang w:val="en-US"/>
        </w:rPr>
        <w:t xml:space="preserve"> </w:t>
      </w:r>
      <w:r w:rsidR="00E56E2E">
        <w:rPr>
          <w:rFonts w:cstheme="minorHAnsi"/>
          <w:b/>
          <w:lang w:val="en-US"/>
        </w:rPr>
        <w:t xml:space="preserve">ARAUCA, CAQUETÁ, PUTUMAYO, AMAZONAS, GUAINÍA, GUAVIARE, VAUPÉS </w:t>
      </w:r>
      <w:r w:rsidR="00E56E2E">
        <w:rPr>
          <w:rFonts w:cstheme="minorHAnsi"/>
          <w:lang w:val="en-US"/>
        </w:rPr>
        <w:t xml:space="preserve">and </w:t>
      </w:r>
      <w:r w:rsidR="00E56E2E">
        <w:rPr>
          <w:rFonts w:cstheme="minorHAnsi"/>
          <w:b/>
          <w:lang w:val="en-US"/>
        </w:rPr>
        <w:t>VICHADA</w:t>
      </w:r>
      <w:r w:rsidR="00E56E2E">
        <w:rPr>
          <w:rFonts w:cstheme="minorHAnsi"/>
          <w:lang w:val="en-US"/>
        </w:rPr>
        <w:t xml:space="preserve"> are considered a risk.</w:t>
      </w:r>
    </w:p>
    <w:p w:rsidR="00CE346A" w:rsidRDefault="00CE346A" w:rsidP="0049215B">
      <w:pPr>
        <w:jc w:val="both"/>
        <w:rPr>
          <w:rFonts w:cstheme="minorHAnsi"/>
          <w:lang w:val="en-US"/>
        </w:rPr>
      </w:pPr>
      <w:r>
        <w:rPr>
          <w:rFonts w:cstheme="minorHAnsi"/>
          <w:lang w:val="en-US"/>
        </w:rPr>
        <w:t>The malaria vaccine certificate is demanded at the entrance of the national parks since 2013.</w:t>
      </w:r>
    </w:p>
    <w:p w:rsidR="00CE346A" w:rsidRDefault="00CE346A" w:rsidP="0049215B">
      <w:pPr>
        <w:jc w:val="both"/>
        <w:rPr>
          <w:rFonts w:cstheme="minorHAnsi"/>
          <w:lang w:val="en-US"/>
        </w:rPr>
      </w:pPr>
      <w:r>
        <w:rPr>
          <w:rFonts w:cstheme="minorHAnsi"/>
          <w:lang w:val="en-US"/>
        </w:rPr>
        <w:t>Lastly, it is important to mention that the list of countries for which the International Malaria Certificate will be updated, depending on the presence and magnitude of outbreaks in every country, after the corresponding risk assessment made by Colombia in compliance with International Health Regulation RSI 2005.</w:t>
      </w:r>
    </w:p>
    <w:p w:rsidR="00CE346A" w:rsidRDefault="00CE346A" w:rsidP="0049215B">
      <w:pPr>
        <w:jc w:val="both"/>
        <w:rPr>
          <w:rFonts w:cstheme="minorHAnsi"/>
          <w:lang w:val="en-US"/>
        </w:rPr>
      </w:pPr>
      <w:r>
        <w:rPr>
          <w:rFonts w:cstheme="minorHAnsi"/>
          <w:lang w:val="en-US"/>
        </w:rPr>
        <w:lastRenderedPageBreak/>
        <w:t>TO BE PUBLISHED AND FULFILLED</w:t>
      </w:r>
    </w:p>
    <w:p w:rsidR="00CE346A" w:rsidRDefault="00CE346A" w:rsidP="0049215B">
      <w:pPr>
        <w:jc w:val="both"/>
        <w:rPr>
          <w:rFonts w:cstheme="minorHAnsi"/>
          <w:lang w:val="en-US"/>
        </w:rPr>
      </w:pPr>
    </w:p>
    <w:p w:rsidR="00CE346A" w:rsidRDefault="00CE346A" w:rsidP="0049215B">
      <w:pPr>
        <w:jc w:val="both"/>
        <w:rPr>
          <w:rFonts w:cstheme="minorHAnsi"/>
          <w:lang w:val="en-US"/>
        </w:rPr>
      </w:pPr>
      <w:r>
        <w:rPr>
          <w:rFonts w:cstheme="minorHAnsi"/>
          <w:lang w:val="en-US"/>
        </w:rPr>
        <w:t>Signed in Bogotá, D.C., on March 29, 2017</w:t>
      </w:r>
      <w:bookmarkStart w:id="0" w:name="_GoBack"/>
      <w:bookmarkEnd w:id="0"/>
    </w:p>
    <w:p w:rsidR="00CE346A" w:rsidRDefault="00CE346A" w:rsidP="0049215B">
      <w:pPr>
        <w:jc w:val="both"/>
        <w:rPr>
          <w:rFonts w:cstheme="minorHAnsi"/>
          <w:lang w:val="en-US"/>
        </w:rPr>
      </w:pPr>
    </w:p>
    <w:p w:rsidR="00CE346A" w:rsidRDefault="00CE346A" w:rsidP="0049215B">
      <w:pPr>
        <w:jc w:val="both"/>
        <w:rPr>
          <w:rFonts w:cstheme="minorHAnsi"/>
          <w:lang w:val="en-US"/>
        </w:rPr>
      </w:pPr>
    </w:p>
    <w:p w:rsidR="00E56E2E" w:rsidRPr="00E56E2E" w:rsidRDefault="00E56E2E" w:rsidP="0049215B">
      <w:pPr>
        <w:jc w:val="both"/>
        <w:rPr>
          <w:rFonts w:cstheme="minorHAnsi"/>
          <w:lang w:val="en-US"/>
        </w:rPr>
      </w:pPr>
    </w:p>
    <w:p w:rsidR="0069570E" w:rsidRPr="00895021" w:rsidRDefault="0069570E" w:rsidP="0049215B">
      <w:pPr>
        <w:jc w:val="both"/>
        <w:rPr>
          <w:rFonts w:cstheme="minorHAnsi"/>
          <w:sz w:val="16"/>
          <w:szCs w:val="16"/>
          <w:lang w:val="en-US"/>
        </w:rPr>
      </w:pPr>
    </w:p>
    <w:p w:rsidR="0069570E" w:rsidRPr="00895021" w:rsidRDefault="0069570E" w:rsidP="0049215B">
      <w:pPr>
        <w:jc w:val="both"/>
        <w:rPr>
          <w:rFonts w:cstheme="minorHAnsi"/>
          <w:sz w:val="16"/>
          <w:szCs w:val="16"/>
          <w:lang w:val="en-US"/>
        </w:rPr>
      </w:pPr>
    </w:p>
    <w:p w:rsidR="0069570E" w:rsidRPr="00CE346A" w:rsidRDefault="00895021" w:rsidP="0049215B">
      <w:pPr>
        <w:jc w:val="both"/>
        <w:rPr>
          <w:sz w:val="16"/>
          <w:szCs w:val="16"/>
          <w:lang w:val="en-US"/>
        </w:rPr>
      </w:pPr>
      <w:r w:rsidRPr="00CE346A">
        <w:rPr>
          <w:sz w:val="16"/>
          <w:szCs w:val="16"/>
          <w:lang w:val="en-US"/>
        </w:rPr>
        <w:t xml:space="preserve">, </w:t>
      </w:r>
    </w:p>
    <w:sectPr w:rsidR="0069570E" w:rsidRPr="00CE3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5B"/>
    <w:rsid w:val="00091B84"/>
    <w:rsid w:val="002D6576"/>
    <w:rsid w:val="0049215B"/>
    <w:rsid w:val="0069570E"/>
    <w:rsid w:val="00813DEE"/>
    <w:rsid w:val="00872528"/>
    <w:rsid w:val="00895021"/>
    <w:rsid w:val="008B5DC7"/>
    <w:rsid w:val="0091083D"/>
    <w:rsid w:val="00BE0538"/>
    <w:rsid w:val="00CE346A"/>
    <w:rsid w:val="00E56E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51162-B80A-41DE-8B99-BD872F1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91B84"/>
    <w:pPr>
      <w:spacing w:after="0" w:line="240" w:lineRule="auto"/>
    </w:pPr>
  </w:style>
  <w:style w:type="table" w:styleId="Tablaconcuadrcula">
    <w:name w:val="Table Grid"/>
    <w:basedOn w:val="Tablanormal"/>
    <w:uiPriority w:val="39"/>
    <w:rsid w:val="00091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1</Pages>
  <Words>796</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Hurtado</dc:creator>
  <cp:keywords/>
  <dc:description/>
  <cp:lastModifiedBy>Luisa Hurtado</cp:lastModifiedBy>
  <cp:revision>3</cp:revision>
  <dcterms:created xsi:type="dcterms:W3CDTF">2018-01-16T02:27:00Z</dcterms:created>
  <dcterms:modified xsi:type="dcterms:W3CDTF">2018-01-18T03:18:00Z</dcterms:modified>
</cp:coreProperties>
</file>