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0A8" w:rsidRDefault="009760A8" w:rsidP="009760A8">
      <w:pPr>
        <w:spacing w:after="0" w:line="240" w:lineRule="auto"/>
        <w:jc w:val="right"/>
        <w:rPr>
          <w:rFonts w:asciiTheme="majorHAnsi" w:hAnsiTheme="majorHAnsi"/>
          <w:b/>
          <w:sz w:val="20"/>
          <w:szCs w:val="20"/>
        </w:rPr>
      </w:pPr>
      <w:r>
        <w:rPr>
          <w:noProof/>
          <w:lang w:eastAsia="es-MX"/>
        </w:rPr>
        <w:drawing>
          <wp:anchor distT="0" distB="0" distL="114300" distR="114300" simplePos="0" relativeHeight="251661312" behindDoc="0" locked="0" layoutInCell="1" allowOverlap="1" wp14:anchorId="2B4CECA6" wp14:editId="411F75FE">
            <wp:simplePos x="0" y="0"/>
            <wp:positionH relativeFrom="column">
              <wp:posOffset>-132080</wp:posOffset>
            </wp:positionH>
            <wp:positionV relativeFrom="paragraph">
              <wp:posOffset>-546735</wp:posOffset>
            </wp:positionV>
            <wp:extent cx="5833110" cy="86233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14411" t="8482" r="14788" b="72886"/>
                    <a:stretch/>
                  </pic:blipFill>
                  <pic:spPr bwMode="auto">
                    <a:xfrm>
                      <a:off x="0" y="0"/>
                      <a:ext cx="5833110" cy="862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760A8" w:rsidRDefault="009760A8" w:rsidP="009760A8">
      <w:pPr>
        <w:spacing w:after="0" w:line="240" w:lineRule="auto"/>
        <w:jc w:val="right"/>
        <w:rPr>
          <w:rFonts w:asciiTheme="majorHAnsi" w:hAnsiTheme="majorHAnsi"/>
          <w:b/>
          <w:sz w:val="20"/>
          <w:szCs w:val="20"/>
        </w:rPr>
      </w:pPr>
    </w:p>
    <w:p w:rsidR="001127F8" w:rsidRPr="00EB6FC8" w:rsidRDefault="00CD634D" w:rsidP="00CD634D">
      <w:pPr>
        <w:spacing w:after="0" w:line="240" w:lineRule="auto"/>
        <w:jc w:val="center"/>
        <w:rPr>
          <w:rFonts w:asciiTheme="majorHAnsi" w:hAnsiTheme="majorHAnsi"/>
          <w:b/>
          <w:sz w:val="32"/>
          <w:szCs w:val="32"/>
        </w:rPr>
      </w:pPr>
      <w:r w:rsidRPr="00EB6FC8">
        <w:rPr>
          <w:rFonts w:asciiTheme="majorHAnsi" w:hAnsiTheme="majorHAnsi"/>
          <w:b/>
          <w:sz w:val="32"/>
          <w:szCs w:val="32"/>
        </w:rPr>
        <w:t>LAS REDES DE GESTION DE RIESGOS DE DESASTRES</w:t>
      </w:r>
    </w:p>
    <w:p w:rsidR="004D3817" w:rsidRPr="00EB6FC8" w:rsidRDefault="00CD634D" w:rsidP="00CD634D">
      <w:pPr>
        <w:spacing w:after="0" w:line="240" w:lineRule="auto"/>
        <w:jc w:val="center"/>
        <w:rPr>
          <w:rFonts w:asciiTheme="majorHAnsi" w:hAnsiTheme="majorHAnsi"/>
          <w:b/>
          <w:sz w:val="26"/>
          <w:szCs w:val="26"/>
        </w:rPr>
      </w:pPr>
      <w:r w:rsidRPr="00EB6FC8">
        <w:rPr>
          <w:rFonts w:asciiTheme="majorHAnsi" w:hAnsiTheme="majorHAnsi"/>
          <w:b/>
          <w:sz w:val="26"/>
          <w:szCs w:val="26"/>
        </w:rPr>
        <w:t xml:space="preserve">ARTICULANDO </w:t>
      </w:r>
      <w:r w:rsidR="00E71353">
        <w:rPr>
          <w:rFonts w:asciiTheme="majorHAnsi" w:hAnsiTheme="majorHAnsi"/>
          <w:b/>
          <w:sz w:val="26"/>
          <w:szCs w:val="26"/>
        </w:rPr>
        <w:t>PROCESOS DE REDUCCION DE RIESGOS</w:t>
      </w:r>
    </w:p>
    <w:p w:rsidR="00CD634D" w:rsidRPr="00EB6FC8" w:rsidRDefault="004D3817" w:rsidP="00CD634D">
      <w:pPr>
        <w:spacing w:after="0" w:line="240" w:lineRule="auto"/>
        <w:jc w:val="center"/>
        <w:rPr>
          <w:rFonts w:asciiTheme="majorHAnsi" w:hAnsiTheme="majorHAnsi"/>
          <w:b/>
          <w:sz w:val="26"/>
          <w:szCs w:val="26"/>
        </w:rPr>
      </w:pPr>
      <w:r w:rsidRPr="00EB6FC8">
        <w:rPr>
          <w:rFonts w:asciiTheme="majorHAnsi" w:hAnsiTheme="majorHAnsi"/>
          <w:b/>
          <w:sz w:val="26"/>
          <w:szCs w:val="26"/>
        </w:rPr>
        <w:t xml:space="preserve">CON </w:t>
      </w:r>
      <w:r w:rsidR="00CD634D" w:rsidRPr="00EB6FC8">
        <w:rPr>
          <w:rFonts w:asciiTheme="majorHAnsi" w:hAnsiTheme="majorHAnsi"/>
          <w:b/>
          <w:sz w:val="26"/>
          <w:szCs w:val="26"/>
        </w:rPr>
        <w:t>ACTORES PUBLICOS, PRIVAD</w:t>
      </w:r>
      <w:r w:rsidRPr="00EB6FC8">
        <w:rPr>
          <w:rFonts w:asciiTheme="majorHAnsi" w:hAnsiTheme="majorHAnsi"/>
          <w:b/>
          <w:sz w:val="26"/>
          <w:szCs w:val="26"/>
        </w:rPr>
        <w:t>O</w:t>
      </w:r>
      <w:r w:rsidR="00CD634D" w:rsidRPr="00EB6FC8">
        <w:rPr>
          <w:rFonts w:asciiTheme="majorHAnsi" w:hAnsiTheme="majorHAnsi"/>
          <w:b/>
          <w:sz w:val="26"/>
          <w:szCs w:val="26"/>
        </w:rPr>
        <w:t>S Y SOCIEDAD CIVIL</w:t>
      </w:r>
    </w:p>
    <w:p w:rsidR="00CD634D" w:rsidRPr="00EB6FC8" w:rsidRDefault="00CD634D" w:rsidP="00CD634D">
      <w:pPr>
        <w:spacing w:after="0" w:line="240" w:lineRule="auto"/>
        <w:rPr>
          <w:rFonts w:asciiTheme="majorHAnsi" w:hAnsiTheme="majorHAnsi"/>
          <w:b/>
        </w:rPr>
      </w:pPr>
    </w:p>
    <w:p w:rsidR="00CD634D" w:rsidRPr="00EB6FC8" w:rsidRDefault="00E17A6E" w:rsidP="00E17A6E">
      <w:pPr>
        <w:spacing w:after="0" w:line="240" w:lineRule="auto"/>
        <w:jc w:val="right"/>
        <w:rPr>
          <w:rFonts w:asciiTheme="majorHAnsi" w:hAnsiTheme="majorHAnsi"/>
          <w:b/>
        </w:rPr>
      </w:pPr>
      <w:r w:rsidRPr="00EB6FC8">
        <w:rPr>
          <w:rFonts w:asciiTheme="majorHAnsi" w:hAnsiTheme="majorHAnsi"/>
          <w:b/>
        </w:rPr>
        <w:t>Pedro Ferradas</w:t>
      </w:r>
    </w:p>
    <w:p w:rsidR="00E17A6E" w:rsidRPr="00EB6FC8" w:rsidRDefault="00E17A6E" w:rsidP="00E17A6E">
      <w:pPr>
        <w:pBdr>
          <w:bottom w:val="single" w:sz="12" w:space="1" w:color="auto"/>
        </w:pBdr>
        <w:spacing w:after="0" w:line="240" w:lineRule="auto"/>
        <w:jc w:val="right"/>
        <w:rPr>
          <w:rFonts w:asciiTheme="majorHAnsi" w:hAnsiTheme="majorHAnsi"/>
          <w:b/>
        </w:rPr>
      </w:pPr>
      <w:r w:rsidRPr="00EB6FC8">
        <w:rPr>
          <w:rFonts w:asciiTheme="majorHAnsi" w:hAnsiTheme="majorHAnsi"/>
          <w:b/>
        </w:rPr>
        <w:t>Orlando Chuquisengo</w:t>
      </w:r>
    </w:p>
    <w:p w:rsidR="009760A8" w:rsidRDefault="009760A8" w:rsidP="00E17A6E">
      <w:pPr>
        <w:spacing w:after="0" w:line="240" w:lineRule="auto"/>
        <w:jc w:val="right"/>
        <w:rPr>
          <w:rFonts w:asciiTheme="majorHAnsi" w:hAnsiTheme="majorHAnsi"/>
          <w:b/>
        </w:rPr>
      </w:pPr>
    </w:p>
    <w:p w:rsidR="00E17A6E" w:rsidRPr="00EB6FC8" w:rsidRDefault="00E17A6E" w:rsidP="00E17A6E">
      <w:pPr>
        <w:spacing w:after="0" w:line="240" w:lineRule="auto"/>
        <w:jc w:val="right"/>
        <w:rPr>
          <w:rFonts w:asciiTheme="majorHAnsi" w:hAnsiTheme="majorHAnsi"/>
          <w:b/>
        </w:rPr>
      </w:pPr>
    </w:p>
    <w:p w:rsidR="00605246" w:rsidRPr="00EB6FC8" w:rsidRDefault="00605246" w:rsidP="00B95E86">
      <w:pPr>
        <w:spacing w:after="0" w:line="240" w:lineRule="auto"/>
        <w:jc w:val="both"/>
        <w:rPr>
          <w:rFonts w:asciiTheme="majorHAnsi" w:hAnsiTheme="majorHAnsi" w:cs="Ayuthaya"/>
          <w:lang w:val="es-ES_tradnl"/>
        </w:rPr>
      </w:pPr>
      <w:r w:rsidRPr="00EB6FC8">
        <w:rPr>
          <w:rFonts w:asciiTheme="majorHAnsi" w:hAnsiTheme="majorHAnsi" w:cs="Ayuthaya"/>
          <w:lang w:val="es-ES_tradnl"/>
        </w:rPr>
        <w:t>En los últimos años, el incremento en la recurrencia y severidad de los desastres asociados a fenómenos de origen natural o inducidos por la acción humana, es uno de los aspectos de mayor preocupación a nivel internacional y nacional, convirtiendo esta situación en un reto a la capacidad del hombre para adelantarse a los acontecimientos a través de una eficaz Gestión del Riesgo de Desastres</w:t>
      </w:r>
      <w:r w:rsidRPr="00EB6FC8">
        <w:rPr>
          <w:rStyle w:val="Refdenotaalpie"/>
          <w:rFonts w:asciiTheme="majorHAnsi" w:hAnsiTheme="majorHAnsi" w:cs="Ayuthaya"/>
          <w:lang w:val="es-ES_tradnl"/>
        </w:rPr>
        <w:footnoteReference w:id="1"/>
      </w:r>
      <w:r w:rsidRPr="00EB6FC8">
        <w:rPr>
          <w:rFonts w:asciiTheme="majorHAnsi" w:hAnsiTheme="majorHAnsi" w:cs="Ayuthaya"/>
          <w:lang w:val="es-ES_tradnl"/>
        </w:rPr>
        <w:t>.</w:t>
      </w:r>
    </w:p>
    <w:p w:rsidR="004D3817" w:rsidRPr="00EB6FC8" w:rsidRDefault="004D3817" w:rsidP="00B95E86">
      <w:pPr>
        <w:spacing w:after="0" w:line="240" w:lineRule="auto"/>
        <w:jc w:val="both"/>
        <w:rPr>
          <w:rFonts w:asciiTheme="majorHAnsi" w:hAnsiTheme="majorHAnsi" w:cs="Ayuthaya"/>
          <w:lang w:val="es-ES_tradnl"/>
        </w:rPr>
      </w:pPr>
    </w:p>
    <w:p w:rsidR="00080257" w:rsidRPr="00EB6FC8" w:rsidRDefault="00080257" w:rsidP="00B95E86">
      <w:pPr>
        <w:spacing w:after="0" w:line="240" w:lineRule="auto"/>
        <w:jc w:val="both"/>
        <w:rPr>
          <w:rFonts w:asciiTheme="majorHAnsi" w:hAnsiTheme="majorHAnsi" w:cs="Ayuthaya"/>
        </w:rPr>
      </w:pPr>
      <w:r w:rsidRPr="00EB6FC8">
        <w:rPr>
          <w:rFonts w:asciiTheme="majorHAnsi" w:hAnsiTheme="majorHAnsi" w:cs="Ayuthaya"/>
          <w:b/>
          <w:bCs/>
          <w:lang w:val="es-ES_tradnl"/>
        </w:rPr>
        <w:t>El incremento de pérdidas es producto del incremento de los riesgos</w:t>
      </w:r>
      <w:r w:rsidRPr="00EB6FC8">
        <w:rPr>
          <w:rFonts w:asciiTheme="majorHAnsi" w:hAnsiTheme="majorHAnsi" w:cs="Ayuthaya"/>
          <w:lang w:val="es-ES_tradnl"/>
        </w:rPr>
        <w:t xml:space="preserve">, y no necesariamente es a consecuencia de fenómenos cada vez más agresivos sino, fundamentalmente, es </w:t>
      </w:r>
      <w:r w:rsidRPr="00EB6FC8">
        <w:rPr>
          <w:rFonts w:asciiTheme="majorHAnsi" w:hAnsiTheme="majorHAnsi" w:cs="Ayuthaya"/>
          <w:b/>
          <w:bCs/>
          <w:lang w:val="es-ES_tradnl"/>
        </w:rPr>
        <w:t>producto del aumento de la vulnerabilidad de las poblaciones</w:t>
      </w:r>
      <w:r w:rsidRPr="00EB6FC8">
        <w:rPr>
          <w:rFonts w:asciiTheme="majorHAnsi" w:hAnsiTheme="majorHAnsi" w:cs="Ayuthaya"/>
          <w:lang w:val="es-ES_tradnl"/>
        </w:rPr>
        <w:t xml:space="preserve"> y de la sociedad en su conjunto, de su cada vez más baja </w:t>
      </w:r>
      <w:r w:rsidRPr="00EB6FC8">
        <w:rPr>
          <w:rFonts w:asciiTheme="majorHAnsi" w:hAnsiTheme="majorHAnsi" w:cs="Ayuthaya"/>
          <w:b/>
          <w:bCs/>
          <w:lang w:val="es-ES_tradnl"/>
        </w:rPr>
        <w:t>y/o del deterioro de su capacidad de resiliencia</w:t>
      </w:r>
      <w:r w:rsidRPr="00EB6FC8">
        <w:rPr>
          <w:rFonts w:asciiTheme="majorHAnsi" w:hAnsiTheme="majorHAnsi" w:cs="Ayuthaya"/>
          <w:b/>
          <w:bCs/>
          <w:lang w:val="es-PE"/>
        </w:rPr>
        <w:t xml:space="preserve"> </w:t>
      </w:r>
    </w:p>
    <w:p w:rsidR="00080257" w:rsidRPr="00EB6FC8" w:rsidRDefault="00080257" w:rsidP="00B95E86">
      <w:pPr>
        <w:spacing w:after="0" w:line="240" w:lineRule="auto"/>
        <w:jc w:val="both"/>
        <w:rPr>
          <w:rFonts w:asciiTheme="majorHAnsi" w:hAnsiTheme="majorHAnsi" w:cs="Ayuthaya"/>
        </w:rPr>
      </w:pPr>
    </w:p>
    <w:p w:rsidR="00080257" w:rsidRPr="00EB6FC8" w:rsidRDefault="00C03429" w:rsidP="00B95E86">
      <w:pPr>
        <w:spacing w:after="0" w:line="240" w:lineRule="auto"/>
        <w:jc w:val="both"/>
        <w:rPr>
          <w:rFonts w:asciiTheme="majorHAnsi" w:hAnsiTheme="majorHAnsi" w:cs="Ayuthaya"/>
          <w:bCs/>
          <w:iCs/>
        </w:rPr>
      </w:pPr>
      <w:r w:rsidRPr="00EB6FC8">
        <w:rPr>
          <w:rFonts w:asciiTheme="majorHAnsi" w:hAnsiTheme="majorHAnsi"/>
          <w:noProof/>
          <w:lang w:eastAsia="es-MX"/>
        </w:rPr>
        <w:drawing>
          <wp:anchor distT="0" distB="0" distL="114300" distR="114300" simplePos="0" relativeHeight="251658240" behindDoc="0" locked="0" layoutInCell="1" allowOverlap="1" wp14:anchorId="27575BF1" wp14:editId="5D6EE844">
            <wp:simplePos x="0" y="0"/>
            <wp:positionH relativeFrom="column">
              <wp:posOffset>2731135</wp:posOffset>
            </wp:positionH>
            <wp:positionV relativeFrom="paragraph">
              <wp:posOffset>344805</wp:posOffset>
            </wp:positionV>
            <wp:extent cx="2894330" cy="1943735"/>
            <wp:effectExtent l="133350" t="114300" r="153670" b="170815"/>
            <wp:wrapSquare wrapText="bothSides"/>
            <wp:docPr id="168964" name="Picture 4" descr="C:\Users\TOSHIBA\Desktop\fotos P+S\imagesCAXKIGC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64" name="Picture 4" descr="C:\Users\TOSHIBA\Desktop\fotos P+S\imagesCAXKIGC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4330" cy="19437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080257" w:rsidRPr="00EB6FC8">
        <w:rPr>
          <w:rFonts w:asciiTheme="majorHAnsi" w:hAnsiTheme="majorHAnsi" w:cs="Ayuthaya"/>
          <w:lang w:val="es-ES_tradnl"/>
        </w:rPr>
        <w:t>La ocurrencia de los desastres evidencia lo mal que hacemos desarrollo, l</w:t>
      </w:r>
      <w:r w:rsidR="00080257" w:rsidRPr="00EB6FC8">
        <w:rPr>
          <w:rFonts w:asciiTheme="majorHAnsi" w:hAnsiTheme="majorHAnsi" w:cs="Ayuthaya"/>
          <w:bCs/>
          <w:iCs/>
          <w:lang w:val="es-PA"/>
        </w:rPr>
        <w:t>a mala forma de planificar nuestra ciudades y comunidades; los asentamientos en zonas de riesgos, y la carencia para adecuarnos a estas condiciones… Crecimiento rápido, descontrolado y desordenado de nuestras ciudades, acompañado por procesos de migración y urbanización en manos de sectore</w:t>
      </w:r>
      <w:r w:rsidR="00257950">
        <w:rPr>
          <w:rFonts w:asciiTheme="majorHAnsi" w:hAnsiTheme="majorHAnsi" w:cs="Ayuthaya"/>
          <w:bCs/>
          <w:iCs/>
          <w:lang w:val="es-PA"/>
        </w:rPr>
        <w:t>s privados</w:t>
      </w:r>
      <w:r w:rsidR="00080257" w:rsidRPr="00EB6FC8">
        <w:rPr>
          <w:rFonts w:asciiTheme="majorHAnsi" w:hAnsiTheme="majorHAnsi" w:cs="Ayuthaya"/>
          <w:bCs/>
          <w:iCs/>
          <w:lang w:val="es-PA"/>
        </w:rPr>
        <w:t xml:space="preserve">…Condiciones de exclusión y pobreza existentes; </w:t>
      </w:r>
      <w:r w:rsidR="00080257" w:rsidRPr="00EB6FC8">
        <w:rPr>
          <w:rFonts w:asciiTheme="majorHAnsi" w:hAnsiTheme="majorHAnsi" w:cs="Ayuthaya"/>
          <w:bCs/>
          <w:iCs/>
          <w:lang w:val="es-BO"/>
        </w:rPr>
        <w:t>paulatino deterioro ambiental a causa de una explotación incontrolada de los recursos naturales</w:t>
      </w:r>
      <w:r w:rsidR="00080257" w:rsidRPr="00EB6FC8">
        <w:rPr>
          <w:rFonts w:asciiTheme="majorHAnsi" w:hAnsiTheme="majorHAnsi" w:cs="Ayuthaya"/>
          <w:bCs/>
          <w:iCs/>
          <w:lang w:val="es-PA"/>
        </w:rPr>
        <w:t>; expansión de la frontera agrícola, destrucción de bosques y e</w:t>
      </w:r>
      <w:r w:rsidR="009760A8">
        <w:rPr>
          <w:rFonts w:asciiTheme="majorHAnsi" w:hAnsiTheme="majorHAnsi" w:cs="Ayuthaya"/>
          <w:bCs/>
          <w:iCs/>
          <w:lang w:val="es-PA"/>
        </w:rPr>
        <w:t>cosistemas ricos en diversidad;</w:t>
      </w:r>
      <w:r w:rsidR="00080257" w:rsidRPr="00EB6FC8">
        <w:rPr>
          <w:rFonts w:asciiTheme="majorHAnsi" w:hAnsiTheme="majorHAnsi" w:cs="Ayuthaya"/>
          <w:bCs/>
          <w:iCs/>
          <w:lang w:val="es-PA"/>
        </w:rPr>
        <w:t>… Carencia o ausencia de políticas o normas que regulen el uso y acondicionamiento del territorio; poca capacidad de control y regulación por parte de las instituciones y organizaciones; la forma en que el «lucro» prevalece antes que la «sostenibilidad</w:t>
      </w:r>
    </w:p>
    <w:p w:rsidR="00080257" w:rsidRPr="00EB6FC8" w:rsidRDefault="00080257" w:rsidP="00B95E86">
      <w:pPr>
        <w:spacing w:after="0" w:line="240" w:lineRule="auto"/>
        <w:jc w:val="both"/>
        <w:rPr>
          <w:rFonts w:asciiTheme="majorHAnsi" w:hAnsiTheme="majorHAnsi" w:cs="Ayuthaya"/>
        </w:rPr>
      </w:pPr>
    </w:p>
    <w:p w:rsidR="00080257" w:rsidRPr="00EB6FC8" w:rsidRDefault="00C03429" w:rsidP="00B95E86">
      <w:pPr>
        <w:spacing w:after="0" w:line="240" w:lineRule="auto"/>
        <w:jc w:val="both"/>
        <w:rPr>
          <w:rFonts w:asciiTheme="majorHAnsi" w:hAnsiTheme="majorHAnsi" w:cs="Ayuthaya"/>
        </w:rPr>
      </w:pPr>
      <w:r w:rsidRPr="00EB6FC8">
        <w:rPr>
          <w:rFonts w:asciiTheme="majorHAnsi" w:hAnsiTheme="majorHAnsi" w:cs="Ayuthaya"/>
          <w:lang w:val="es-PA"/>
        </w:rPr>
        <w:t>Se ha</w:t>
      </w:r>
      <w:r w:rsidR="00080257" w:rsidRPr="00EB6FC8">
        <w:rPr>
          <w:rFonts w:asciiTheme="majorHAnsi" w:hAnsiTheme="majorHAnsi" w:cs="Ayuthaya"/>
          <w:lang w:val="es-PA"/>
        </w:rPr>
        <w:t xml:space="preserve"> orientado los esfuerzos a contar con mayores capacidades para enfrentar “los embates de la naturaleza” sin embargo hemos hecho poco por defenderla o establecer mejores códigos </w:t>
      </w:r>
      <w:r w:rsidR="00080257" w:rsidRPr="00EB6FC8">
        <w:rPr>
          <w:rFonts w:asciiTheme="majorHAnsi" w:hAnsiTheme="majorHAnsi" w:cs="Ayuthaya"/>
          <w:lang w:val="es-PA"/>
        </w:rPr>
        <w:lastRenderedPageBreak/>
        <w:t>de convivencia. … se van dilapidando nuestros recursos, explotando y agotando nuestras reservas y depredando bosques y suelos y saturando nuestros territorios</w:t>
      </w:r>
    </w:p>
    <w:p w:rsidR="00080257" w:rsidRPr="00EB6FC8" w:rsidRDefault="00080257" w:rsidP="00B95E86">
      <w:pPr>
        <w:spacing w:after="0" w:line="240" w:lineRule="auto"/>
        <w:jc w:val="both"/>
        <w:rPr>
          <w:rFonts w:asciiTheme="majorHAnsi" w:hAnsiTheme="majorHAnsi" w:cs="Ayuthaya"/>
        </w:rPr>
      </w:pPr>
    </w:p>
    <w:p w:rsidR="00605246" w:rsidRPr="00A206AB" w:rsidRDefault="00605246" w:rsidP="00B95E86">
      <w:pPr>
        <w:spacing w:after="0" w:line="240" w:lineRule="auto"/>
        <w:jc w:val="both"/>
        <w:rPr>
          <w:rFonts w:asciiTheme="majorHAnsi" w:hAnsiTheme="majorHAnsi" w:cs="Arial"/>
          <w:b/>
          <w:sz w:val="26"/>
          <w:szCs w:val="26"/>
        </w:rPr>
      </w:pPr>
      <w:r w:rsidRPr="00A206AB">
        <w:rPr>
          <w:rFonts w:asciiTheme="majorHAnsi" w:hAnsiTheme="majorHAnsi" w:cs="Arial"/>
          <w:b/>
          <w:sz w:val="26"/>
          <w:szCs w:val="26"/>
        </w:rPr>
        <w:t>Las Redes de Gestión de Riesgos de Desastres</w:t>
      </w:r>
    </w:p>
    <w:p w:rsidR="00CD634D" w:rsidRPr="00EB6FC8" w:rsidRDefault="00CD634D" w:rsidP="00B95E86">
      <w:pPr>
        <w:spacing w:after="0" w:line="240" w:lineRule="auto"/>
        <w:jc w:val="both"/>
        <w:rPr>
          <w:rFonts w:asciiTheme="majorHAnsi" w:hAnsiTheme="majorHAnsi" w:cs="Arial"/>
        </w:rPr>
      </w:pPr>
      <w:r w:rsidRPr="00EB6FC8">
        <w:rPr>
          <w:rFonts w:asciiTheme="majorHAnsi" w:hAnsiTheme="majorHAnsi" w:cs="Arial"/>
        </w:rPr>
        <w:t>Las redes constituyen mecanismos de intercambio de conocimientos y experiencias entre organizaciones e instituciones para contribuir con propuestas e incidir en  las políticas de GRD. Estas redes contribuyen a la recuperación del conocimiento tradicional y local promoviendo la inclusión social y territorial, y facilitando el aporte especializado para la prevención, reducción del riesgo, respuesta a emergencias y adaptación ante los efectos del cambio climático.</w:t>
      </w:r>
    </w:p>
    <w:p w:rsidR="00EC2622" w:rsidRPr="00EB6FC8" w:rsidRDefault="00EC2622" w:rsidP="00B95E86">
      <w:pPr>
        <w:spacing w:after="0" w:line="240" w:lineRule="auto"/>
        <w:jc w:val="both"/>
        <w:rPr>
          <w:rFonts w:asciiTheme="majorHAnsi" w:hAnsiTheme="majorHAnsi" w:cs="Arial"/>
        </w:rPr>
      </w:pPr>
      <w:r w:rsidRPr="00EB6FC8">
        <w:rPr>
          <w:rFonts w:asciiTheme="majorHAnsi" w:hAnsiTheme="majorHAnsi" w:cs="Ayuthaya"/>
          <w:lang w:val="es-ES_tradnl"/>
        </w:rPr>
        <w:t>Esta forma de abordar colectivamente la GRD permite  aumentar la resiliencia a desastres, como producto del trabajo articulado y coordinado de las organizaciones de la sociedad civil y entidades públicas nacionales del SINAGERD, retroalimentando las políticas públicas de gestión de riesgos</w:t>
      </w:r>
    </w:p>
    <w:p w:rsidR="00EC2622" w:rsidRPr="00EB6FC8" w:rsidRDefault="00EC2622" w:rsidP="00B95E86">
      <w:pPr>
        <w:pStyle w:val="Default"/>
        <w:jc w:val="both"/>
        <w:rPr>
          <w:rFonts w:asciiTheme="majorHAnsi" w:hAnsiTheme="majorHAnsi"/>
          <w:b/>
          <w:sz w:val="22"/>
          <w:szCs w:val="22"/>
        </w:rPr>
      </w:pPr>
    </w:p>
    <w:p w:rsidR="00605246" w:rsidRPr="00EB6FC8" w:rsidRDefault="00605246" w:rsidP="00B95E86">
      <w:pPr>
        <w:pStyle w:val="Default"/>
        <w:ind w:left="284"/>
        <w:jc w:val="both"/>
        <w:rPr>
          <w:rFonts w:asciiTheme="majorHAnsi" w:hAnsiTheme="majorHAnsi"/>
          <w:sz w:val="22"/>
          <w:szCs w:val="22"/>
        </w:rPr>
      </w:pPr>
      <w:r w:rsidRPr="00EB6FC8">
        <w:rPr>
          <w:rFonts w:asciiTheme="majorHAnsi" w:hAnsiTheme="majorHAnsi"/>
          <w:b/>
          <w:sz w:val="22"/>
          <w:szCs w:val="22"/>
        </w:rPr>
        <w:t>Los Grupos Impulsores para</w:t>
      </w:r>
      <w:r w:rsidR="00C03429" w:rsidRPr="00EB6FC8">
        <w:rPr>
          <w:rFonts w:asciiTheme="majorHAnsi" w:hAnsiTheme="majorHAnsi"/>
          <w:b/>
          <w:sz w:val="22"/>
          <w:szCs w:val="22"/>
        </w:rPr>
        <w:t xml:space="preserve"> la Gestión de Riesgos (GRIDES), </w:t>
      </w:r>
      <w:r w:rsidRPr="00EB6FC8">
        <w:rPr>
          <w:rFonts w:asciiTheme="majorHAnsi" w:hAnsiTheme="majorHAnsi"/>
          <w:sz w:val="22"/>
          <w:szCs w:val="22"/>
        </w:rPr>
        <w:t xml:space="preserve">son redes conformadas por la sociedad civil y otros actores involucrados en la GRD que buscan incidir desde el ámbito local con propuestas regionales. </w:t>
      </w:r>
      <w:r w:rsidR="00C03429" w:rsidRPr="00EB6FC8">
        <w:rPr>
          <w:rFonts w:asciiTheme="majorHAnsi" w:hAnsiTheme="majorHAnsi"/>
          <w:sz w:val="22"/>
          <w:szCs w:val="22"/>
        </w:rPr>
        <w:t xml:space="preserve"> </w:t>
      </w:r>
      <w:r w:rsidRPr="00EB6FC8">
        <w:rPr>
          <w:rFonts w:asciiTheme="majorHAnsi" w:hAnsiTheme="majorHAnsi"/>
          <w:sz w:val="22"/>
          <w:szCs w:val="22"/>
        </w:rPr>
        <w:t xml:space="preserve">Constituyen actores claves para la gestión local y </w:t>
      </w:r>
      <w:proofErr w:type="spellStart"/>
      <w:r w:rsidRPr="00EB6FC8">
        <w:rPr>
          <w:rFonts w:asciiTheme="majorHAnsi" w:hAnsiTheme="majorHAnsi"/>
          <w:sz w:val="22"/>
          <w:szCs w:val="22"/>
        </w:rPr>
        <w:t>subnacional</w:t>
      </w:r>
      <w:proofErr w:type="spellEnd"/>
      <w:r w:rsidRPr="00EB6FC8">
        <w:rPr>
          <w:rFonts w:asciiTheme="majorHAnsi" w:hAnsiTheme="majorHAnsi"/>
          <w:sz w:val="22"/>
          <w:szCs w:val="22"/>
        </w:rPr>
        <w:t xml:space="preserve"> del riesgo en la medida que contribuyen con la incidencia en políticas públicas, fortalecen las capacidades locales y propician la participación ciudadana. </w:t>
      </w:r>
    </w:p>
    <w:p w:rsidR="00605246" w:rsidRPr="00EB6FC8" w:rsidRDefault="00605246" w:rsidP="00B95E86">
      <w:pPr>
        <w:pStyle w:val="Default"/>
        <w:ind w:left="284"/>
        <w:jc w:val="both"/>
        <w:rPr>
          <w:rFonts w:asciiTheme="majorHAnsi" w:hAnsiTheme="majorHAnsi"/>
          <w:sz w:val="22"/>
          <w:szCs w:val="22"/>
        </w:rPr>
      </w:pPr>
    </w:p>
    <w:p w:rsidR="00605246" w:rsidRPr="00EB6FC8" w:rsidRDefault="00605246" w:rsidP="00B95E86">
      <w:pPr>
        <w:pStyle w:val="Default"/>
        <w:ind w:left="284"/>
        <w:jc w:val="both"/>
        <w:rPr>
          <w:rFonts w:asciiTheme="majorHAnsi" w:hAnsiTheme="majorHAnsi"/>
          <w:sz w:val="22"/>
          <w:szCs w:val="22"/>
        </w:rPr>
      </w:pPr>
      <w:r w:rsidRPr="00EB6FC8">
        <w:rPr>
          <w:rFonts w:asciiTheme="majorHAnsi" w:hAnsiTheme="majorHAnsi"/>
          <w:sz w:val="22"/>
          <w:szCs w:val="22"/>
        </w:rPr>
        <w:t>Agrupan a todo tipo de organizaciones con capacidad de incidir en el tema de Gestión de Riesgo de Desastres (GRD), como: asociaciones de mujeres, niños, docentes, organizaciones de productores, líderes de organizaciones de productores, líderes de organizaciones comunales, brigadistas, redes de estudiantes, representantes del Estado (gobiernos locales, regionales y sectores), universidades, institutos de investigación, colegios profesionales, bomberos, gremios laborales, agencias de cooperación y ONG.</w:t>
      </w:r>
    </w:p>
    <w:p w:rsidR="00605246" w:rsidRPr="00EB6FC8" w:rsidRDefault="00605246" w:rsidP="00B95E86">
      <w:pPr>
        <w:pStyle w:val="Default"/>
        <w:ind w:left="284"/>
        <w:jc w:val="both"/>
        <w:rPr>
          <w:rFonts w:asciiTheme="majorHAnsi" w:hAnsiTheme="majorHAnsi"/>
          <w:sz w:val="22"/>
          <w:szCs w:val="22"/>
        </w:rPr>
      </w:pPr>
    </w:p>
    <w:p w:rsidR="00C03429" w:rsidRPr="00EB6FC8" w:rsidRDefault="00EB6FC8" w:rsidP="00B95E86">
      <w:pPr>
        <w:pStyle w:val="Pa1"/>
        <w:spacing w:line="240" w:lineRule="auto"/>
        <w:ind w:left="284"/>
        <w:jc w:val="both"/>
        <w:rPr>
          <w:rFonts w:asciiTheme="majorHAnsi" w:hAnsiTheme="majorHAnsi" w:cs="Frutiger LT 45 Light"/>
          <w:color w:val="000000"/>
          <w:sz w:val="22"/>
          <w:szCs w:val="22"/>
        </w:rPr>
      </w:pPr>
      <w:r>
        <w:rPr>
          <w:rStyle w:val="A3"/>
          <w:rFonts w:asciiTheme="majorHAnsi" w:hAnsiTheme="majorHAnsi"/>
          <w:sz w:val="22"/>
          <w:szCs w:val="22"/>
        </w:rPr>
        <w:t>Antecedentes y creación de las Redes de GRD y Grupos Impulsores de Gestión de Riesgos de Desastres (</w:t>
      </w:r>
      <w:r w:rsidR="00C03429" w:rsidRPr="00EB6FC8">
        <w:rPr>
          <w:rStyle w:val="A3"/>
          <w:rFonts w:asciiTheme="majorHAnsi" w:hAnsiTheme="majorHAnsi"/>
          <w:sz w:val="22"/>
          <w:szCs w:val="22"/>
        </w:rPr>
        <w:t>GRIDES</w:t>
      </w:r>
      <w:r>
        <w:rPr>
          <w:rStyle w:val="A3"/>
          <w:rFonts w:asciiTheme="majorHAnsi" w:hAnsiTheme="majorHAnsi"/>
          <w:sz w:val="22"/>
          <w:szCs w:val="22"/>
        </w:rPr>
        <w:t>)</w:t>
      </w:r>
    </w:p>
    <w:p w:rsidR="00C03429" w:rsidRPr="00EB6FC8" w:rsidRDefault="00C03429" w:rsidP="00B95E86">
      <w:pPr>
        <w:pStyle w:val="Pa0"/>
        <w:spacing w:line="240" w:lineRule="auto"/>
        <w:ind w:left="284"/>
        <w:jc w:val="both"/>
        <w:rPr>
          <w:rFonts w:asciiTheme="majorHAnsi" w:hAnsiTheme="majorHAnsi" w:cs="Frutiger LT 45 Light"/>
          <w:color w:val="000000"/>
          <w:sz w:val="22"/>
          <w:szCs w:val="22"/>
        </w:rPr>
      </w:pPr>
      <w:r w:rsidRPr="00EB6FC8">
        <w:rPr>
          <w:rFonts w:asciiTheme="majorHAnsi" w:hAnsiTheme="majorHAnsi" w:cs="Frutiger LT 45 Light"/>
          <w:color w:val="000000"/>
          <w:sz w:val="22"/>
          <w:szCs w:val="22"/>
        </w:rPr>
        <w:t>Entre 1997 y 1998 ocurrió un Fenómeno El Niño (FEN) que tuvo grandes impactos a nivel nacional. Con lluvias promedio de 701 mm/mes, el evento superó históri</w:t>
      </w:r>
      <w:r w:rsidRPr="00EB6FC8">
        <w:rPr>
          <w:rFonts w:asciiTheme="majorHAnsi" w:hAnsiTheme="majorHAnsi" w:cs="Frutiger LT 45 Light"/>
          <w:color w:val="000000"/>
          <w:sz w:val="22"/>
          <w:szCs w:val="22"/>
        </w:rPr>
        <w:softHyphen/>
        <w:t>cos registrados durante otros FEN, afectando especialmente a los departamentos de Tumbes, Piura, Lambayeque e incluso, por primera vez durante todos los pe</w:t>
      </w:r>
      <w:r w:rsidRPr="00EB6FC8">
        <w:rPr>
          <w:rFonts w:asciiTheme="majorHAnsi" w:hAnsiTheme="majorHAnsi" w:cs="Frutiger LT 45 Light"/>
          <w:color w:val="000000"/>
          <w:sz w:val="22"/>
          <w:szCs w:val="22"/>
        </w:rPr>
        <w:softHyphen/>
        <w:t>riodos registrados, Ica</w:t>
      </w:r>
    </w:p>
    <w:p w:rsidR="0003396F" w:rsidRPr="00EB6FC8" w:rsidRDefault="0003396F" w:rsidP="00B95E86">
      <w:pPr>
        <w:pStyle w:val="Default"/>
        <w:ind w:left="284"/>
        <w:rPr>
          <w:rFonts w:asciiTheme="majorHAnsi" w:hAnsiTheme="majorHAnsi"/>
          <w:sz w:val="22"/>
          <w:szCs w:val="22"/>
          <w:lang w:val="es-MX"/>
        </w:rPr>
      </w:pPr>
    </w:p>
    <w:p w:rsidR="00C03429" w:rsidRPr="00EB6FC8" w:rsidRDefault="00C03429" w:rsidP="00B95E86">
      <w:pPr>
        <w:pStyle w:val="Pa0"/>
        <w:spacing w:line="240" w:lineRule="auto"/>
        <w:ind w:left="284"/>
        <w:jc w:val="both"/>
        <w:rPr>
          <w:rFonts w:asciiTheme="majorHAnsi" w:hAnsiTheme="majorHAnsi" w:cs="Frutiger LT 45 Light"/>
          <w:color w:val="000000"/>
          <w:sz w:val="22"/>
          <w:szCs w:val="22"/>
        </w:rPr>
      </w:pPr>
      <w:r w:rsidRPr="00EB6FC8">
        <w:rPr>
          <w:rFonts w:asciiTheme="majorHAnsi" w:hAnsiTheme="majorHAnsi" w:cs="Frutiger LT 45 Light"/>
          <w:color w:val="000000"/>
          <w:sz w:val="22"/>
          <w:szCs w:val="22"/>
        </w:rPr>
        <w:t xml:space="preserve">En estas circunstancias, </w:t>
      </w:r>
      <w:r w:rsidR="0003396F" w:rsidRPr="00EB6FC8">
        <w:rPr>
          <w:rFonts w:asciiTheme="majorHAnsi" w:hAnsiTheme="majorHAnsi" w:cs="Frutiger LT 45 Light"/>
          <w:color w:val="000000"/>
          <w:sz w:val="22"/>
          <w:szCs w:val="22"/>
          <w:u w:val="single"/>
        </w:rPr>
        <w:t>en una primera fase</w:t>
      </w:r>
      <w:r w:rsidR="0003396F" w:rsidRPr="00EB6FC8">
        <w:rPr>
          <w:rFonts w:asciiTheme="majorHAnsi" w:hAnsiTheme="majorHAnsi" w:cs="Frutiger LT 45 Light"/>
          <w:color w:val="000000"/>
          <w:sz w:val="22"/>
          <w:szCs w:val="22"/>
        </w:rPr>
        <w:t xml:space="preserve"> y </w:t>
      </w:r>
      <w:r w:rsidRPr="00EB6FC8">
        <w:rPr>
          <w:rFonts w:asciiTheme="majorHAnsi" w:hAnsiTheme="majorHAnsi" w:cs="Frutiger LT 45 Light"/>
          <w:color w:val="000000"/>
          <w:sz w:val="22"/>
          <w:szCs w:val="22"/>
        </w:rPr>
        <w:t xml:space="preserve">durante la etapa de preparativos para la respuesta ante </w:t>
      </w:r>
      <w:r w:rsidR="00E17A6E" w:rsidRPr="00EB6FC8">
        <w:rPr>
          <w:rFonts w:asciiTheme="majorHAnsi" w:hAnsiTheme="majorHAnsi" w:cs="Frutiger LT 45 Light"/>
          <w:color w:val="000000"/>
          <w:sz w:val="22"/>
          <w:szCs w:val="22"/>
        </w:rPr>
        <w:t>E</w:t>
      </w:r>
      <w:r w:rsidRPr="00EB6FC8">
        <w:rPr>
          <w:rFonts w:asciiTheme="majorHAnsi" w:hAnsiTheme="majorHAnsi" w:cs="Frutiger LT 45 Light"/>
          <w:color w:val="000000"/>
          <w:sz w:val="22"/>
          <w:szCs w:val="22"/>
        </w:rPr>
        <w:t>l FEN, se gestaron algunas estrategias importantes, como la «acción ciudada</w:t>
      </w:r>
      <w:r w:rsidRPr="00EB6FC8">
        <w:rPr>
          <w:rFonts w:asciiTheme="majorHAnsi" w:hAnsiTheme="majorHAnsi" w:cs="Frutiger LT 45 Light"/>
          <w:color w:val="000000"/>
          <w:sz w:val="22"/>
          <w:szCs w:val="22"/>
        </w:rPr>
        <w:softHyphen/>
        <w:t>na» en Lambayeque. Además, surgió otro tipo de iniciativas, como el grupo de desastres de la Asociación nacional de centros (ANC). Fue significativo el caso de la Coordinadora interinstitucional para el desarro</w:t>
      </w:r>
      <w:r w:rsidRPr="00EB6FC8">
        <w:rPr>
          <w:rFonts w:asciiTheme="majorHAnsi" w:hAnsiTheme="majorHAnsi" w:cs="Frutiger LT 45 Light"/>
          <w:color w:val="000000"/>
          <w:sz w:val="22"/>
          <w:szCs w:val="22"/>
        </w:rPr>
        <w:softHyphen/>
        <w:t>llo de la región Piura, organizado a fines de la década de 1990 por un conjun</w:t>
      </w:r>
      <w:r w:rsidRPr="00EB6FC8">
        <w:rPr>
          <w:rFonts w:asciiTheme="majorHAnsi" w:hAnsiTheme="majorHAnsi" w:cs="Frutiger LT 45 Light"/>
          <w:color w:val="000000"/>
          <w:sz w:val="22"/>
          <w:szCs w:val="22"/>
        </w:rPr>
        <w:softHyphen/>
        <w:t>to de in</w:t>
      </w:r>
      <w:r w:rsidR="0003396F" w:rsidRPr="00EB6FC8">
        <w:rPr>
          <w:rFonts w:asciiTheme="majorHAnsi" w:hAnsiTheme="majorHAnsi" w:cs="Frutiger LT 45 Light"/>
          <w:color w:val="000000"/>
          <w:sz w:val="22"/>
          <w:szCs w:val="22"/>
        </w:rPr>
        <w:t>stituciones públicas y privadas</w:t>
      </w:r>
      <w:r w:rsidRPr="00EB6FC8">
        <w:rPr>
          <w:rFonts w:asciiTheme="majorHAnsi" w:hAnsiTheme="majorHAnsi" w:cs="Frutiger LT 45 Light"/>
          <w:color w:val="000000"/>
          <w:sz w:val="22"/>
          <w:szCs w:val="22"/>
        </w:rPr>
        <w:t>. En el contexto del FEN también surgió el Grupo de gestión del riesgo de Piura (1998), que congrega actualmente a más de 20 instituciones públicas y privadas. La ex</w:t>
      </w:r>
      <w:r w:rsidRPr="00EB6FC8">
        <w:rPr>
          <w:rFonts w:asciiTheme="majorHAnsi" w:hAnsiTheme="majorHAnsi" w:cs="Frutiger LT 45 Light"/>
          <w:color w:val="000000"/>
          <w:sz w:val="22"/>
          <w:szCs w:val="22"/>
        </w:rPr>
        <w:softHyphen/>
        <w:t>periencia que obtuvieron durante la gestión del FEN sirvió para la creación de otros grupos de gestión del riesgo regionales, que luego se agru</w:t>
      </w:r>
      <w:r w:rsidRPr="00EB6FC8">
        <w:rPr>
          <w:rFonts w:asciiTheme="majorHAnsi" w:hAnsiTheme="majorHAnsi" w:cs="Frutiger LT 45 Light"/>
          <w:color w:val="000000"/>
          <w:sz w:val="22"/>
          <w:szCs w:val="22"/>
        </w:rPr>
        <w:softHyphen/>
        <w:t>paron en el GRIDE Nororiente.</w:t>
      </w:r>
    </w:p>
    <w:p w:rsidR="00C03429" w:rsidRPr="00EB6FC8" w:rsidRDefault="00C03429" w:rsidP="00B95E86">
      <w:pPr>
        <w:spacing w:after="0" w:line="240" w:lineRule="auto"/>
        <w:ind w:left="284"/>
        <w:jc w:val="both"/>
        <w:rPr>
          <w:rFonts w:asciiTheme="majorHAnsi" w:hAnsiTheme="majorHAnsi" w:cs="Arial"/>
        </w:rPr>
      </w:pPr>
    </w:p>
    <w:p w:rsidR="00ED2C9D" w:rsidRDefault="00D72928" w:rsidP="00B95E86">
      <w:pPr>
        <w:pStyle w:val="Pa0"/>
        <w:pageBreakBefore/>
        <w:spacing w:line="240" w:lineRule="auto"/>
        <w:ind w:left="284"/>
        <w:jc w:val="both"/>
        <w:rPr>
          <w:rFonts w:asciiTheme="majorHAnsi" w:hAnsiTheme="majorHAnsi"/>
          <w:sz w:val="22"/>
          <w:szCs w:val="22"/>
        </w:rPr>
      </w:pPr>
      <w:r>
        <w:rPr>
          <w:noProof/>
          <w:lang w:eastAsia="es-MX"/>
        </w:rPr>
        <w:lastRenderedPageBreak/>
        <w:drawing>
          <wp:anchor distT="0" distB="0" distL="114300" distR="114300" simplePos="0" relativeHeight="251659264" behindDoc="0" locked="0" layoutInCell="1" allowOverlap="1" wp14:anchorId="02D16FFE" wp14:editId="37C21D58">
            <wp:simplePos x="0" y="0"/>
            <wp:positionH relativeFrom="column">
              <wp:posOffset>3379470</wp:posOffset>
            </wp:positionH>
            <wp:positionV relativeFrom="paragraph">
              <wp:posOffset>1100455</wp:posOffset>
            </wp:positionV>
            <wp:extent cx="2199005" cy="320230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34616" t="15068" r="35656" b="7946"/>
                    <a:stretch/>
                  </pic:blipFill>
                  <pic:spPr bwMode="auto">
                    <a:xfrm>
                      <a:off x="0" y="0"/>
                      <a:ext cx="2199005" cy="3202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3396F" w:rsidRPr="00EB6FC8">
        <w:rPr>
          <w:rFonts w:asciiTheme="majorHAnsi" w:hAnsiTheme="majorHAnsi"/>
          <w:sz w:val="22"/>
          <w:szCs w:val="22"/>
        </w:rPr>
        <w:t xml:space="preserve">En </w:t>
      </w:r>
      <w:r w:rsidR="0003396F" w:rsidRPr="00EB6FC8">
        <w:rPr>
          <w:rFonts w:asciiTheme="majorHAnsi" w:hAnsiTheme="majorHAnsi"/>
          <w:sz w:val="22"/>
          <w:szCs w:val="22"/>
          <w:u w:val="single"/>
        </w:rPr>
        <w:t>una segunda fase</w:t>
      </w:r>
      <w:r w:rsidR="0003396F" w:rsidRPr="00EB6FC8">
        <w:rPr>
          <w:rFonts w:asciiTheme="majorHAnsi" w:hAnsiTheme="majorHAnsi"/>
          <w:sz w:val="22"/>
          <w:szCs w:val="22"/>
        </w:rPr>
        <w:t xml:space="preserve"> (2004-2008), </w:t>
      </w:r>
      <w:r w:rsidR="00ED2C9D" w:rsidRPr="00EB6FC8">
        <w:rPr>
          <w:rFonts w:asciiTheme="majorHAnsi" w:hAnsiTheme="majorHAnsi" w:cs="Frutiger LT 45 Light"/>
          <w:color w:val="000000"/>
          <w:sz w:val="22"/>
          <w:szCs w:val="22"/>
        </w:rPr>
        <w:t>con la experiencia generada por los grupos que apa</w:t>
      </w:r>
      <w:r w:rsidR="00ED2C9D" w:rsidRPr="00EB6FC8">
        <w:rPr>
          <w:rFonts w:asciiTheme="majorHAnsi" w:hAnsiTheme="majorHAnsi" w:cs="Frutiger LT 45 Light"/>
          <w:color w:val="000000"/>
          <w:sz w:val="22"/>
          <w:szCs w:val="22"/>
        </w:rPr>
        <w:softHyphen/>
        <w:t xml:space="preserve">recieron durante el FEN 1997-1998, y como resultado de los ejes de trabajos sugeridos en el Marco de acción de </w:t>
      </w:r>
      <w:proofErr w:type="spellStart"/>
      <w:r w:rsidR="00ED2C9D" w:rsidRPr="00EB6FC8">
        <w:rPr>
          <w:rFonts w:asciiTheme="majorHAnsi" w:hAnsiTheme="majorHAnsi" w:cs="Frutiger LT 45 Light"/>
          <w:color w:val="000000"/>
          <w:sz w:val="22"/>
          <w:szCs w:val="22"/>
        </w:rPr>
        <w:t>Hyogo</w:t>
      </w:r>
      <w:proofErr w:type="spellEnd"/>
      <w:r w:rsidR="00ED2C9D" w:rsidRPr="00EB6FC8">
        <w:rPr>
          <w:rFonts w:asciiTheme="majorHAnsi" w:hAnsiTheme="majorHAnsi" w:cs="Frutiger LT 45 Light"/>
          <w:color w:val="000000"/>
          <w:sz w:val="22"/>
          <w:szCs w:val="22"/>
        </w:rPr>
        <w:t xml:space="preserve"> (2005) para asegurar que la reducción de los riesgos sea parte de las políticas de Estado con estrategias que partan de un trabajo en lo local, </w:t>
      </w:r>
      <w:r w:rsidR="00ED2C9D">
        <w:rPr>
          <w:rFonts w:asciiTheme="majorHAnsi" w:hAnsiTheme="majorHAnsi" w:cs="Frutiger LT 45 Light"/>
          <w:color w:val="000000"/>
          <w:sz w:val="22"/>
          <w:szCs w:val="22"/>
        </w:rPr>
        <w:t>se</w:t>
      </w:r>
      <w:r w:rsidR="00ED2C9D" w:rsidRPr="00EB6FC8">
        <w:rPr>
          <w:rFonts w:asciiTheme="majorHAnsi" w:hAnsiTheme="majorHAnsi" w:cs="Frutiger LT 45 Light"/>
          <w:color w:val="000000"/>
          <w:sz w:val="22"/>
          <w:szCs w:val="22"/>
        </w:rPr>
        <w:t xml:space="preserve"> han impulsado la formación de redes de gestión de riesgos en las diferentes regiones del país, bajo el nombre de grupos impulsores de gestión del riesgo y </w:t>
      </w:r>
      <w:r w:rsidR="00ED2C9D">
        <w:rPr>
          <w:rFonts w:asciiTheme="majorHAnsi" w:hAnsiTheme="majorHAnsi" w:cs="Frutiger LT 45 Light"/>
          <w:color w:val="000000"/>
          <w:sz w:val="22"/>
          <w:szCs w:val="22"/>
        </w:rPr>
        <w:t xml:space="preserve">adaptación al cambio climático, </w:t>
      </w:r>
      <w:r w:rsidR="00ED2C9D" w:rsidRPr="00EB6FC8">
        <w:rPr>
          <w:rFonts w:asciiTheme="majorHAnsi" w:hAnsiTheme="majorHAnsi"/>
          <w:sz w:val="22"/>
          <w:szCs w:val="22"/>
        </w:rPr>
        <w:t>logrando en algunos casos el reconocimiento como asesoras del gobierno regional.</w:t>
      </w:r>
      <w:r w:rsidR="00ED2C9D">
        <w:rPr>
          <w:rFonts w:asciiTheme="majorHAnsi" w:hAnsiTheme="majorHAnsi"/>
          <w:sz w:val="22"/>
          <w:szCs w:val="22"/>
        </w:rPr>
        <w:t xml:space="preserve"> En esta fase se formaron los </w:t>
      </w:r>
      <w:proofErr w:type="spellStart"/>
      <w:r w:rsidR="00ED2C9D">
        <w:rPr>
          <w:rFonts w:asciiTheme="majorHAnsi" w:hAnsiTheme="majorHAnsi"/>
          <w:sz w:val="22"/>
          <w:szCs w:val="22"/>
        </w:rPr>
        <w:t>GrideSur</w:t>
      </w:r>
      <w:proofErr w:type="spellEnd"/>
      <w:r w:rsidR="00ED2C9D">
        <w:rPr>
          <w:rFonts w:asciiTheme="majorHAnsi" w:hAnsiTheme="majorHAnsi"/>
          <w:sz w:val="22"/>
          <w:szCs w:val="22"/>
        </w:rPr>
        <w:t xml:space="preserve"> (Arequipa, Tacna, Moquegua, Puno), </w:t>
      </w:r>
      <w:proofErr w:type="spellStart"/>
      <w:r w:rsidR="00ED2C9D">
        <w:rPr>
          <w:rFonts w:asciiTheme="majorHAnsi" w:hAnsiTheme="majorHAnsi"/>
          <w:sz w:val="22"/>
          <w:szCs w:val="22"/>
        </w:rPr>
        <w:t>Gride</w:t>
      </w:r>
      <w:proofErr w:type="spellEnd"/>
      <w:r w:rsidR="00ED2C9D">
        <w:rPr>
          <w:rFonts w:asciiTheme="majorHAnsi" w:hAnsiTheme="majorHAnsi"/>
          <w:sz w:val="22"/>
          <w:szCs w:val="22"/>
        </w:rPr>
        <w:t xml:space="preserve"> Norte (Piura, Cajamarca, Tumbes, Lambayeque, La Libertad, San Martin)</w:t>
      </w:r>
    </w:p>
    <w:p w:rsidR="00ED2C9D" w:rsidRDefault="00ED2C9D" w:rsidP="00B95E86">
      <w:pPr>
        <w:pStyle w:val="Default"/>
        <w:ind w:left="284"/>
        <w:rPr>
          <w:lang w:val="es-MX"/>
        </w:rPr>
      </w:pPr>
    </w:p>
    <w:p w:rsidR="00ED2C9D" w:rsidRDefault="00ED2C9D" w:rsidP="00B95E86">
      <w:pPr>
        <w:pStyle w:val="Default"/>
        <w:ind w:left="284"/>
        <w:jc w:val="both"/>
        <w:rPr>
          <w:lang w:val="es-MX"/>
        </w:rPr>
      </w:pPr>
      <w:r w:rsidRPr="00EB6FC8">
        <w:rPr>
          <w:rFonts w:asciiTheme="majorHAnsi" w:hAnsiTheme="majorHAnsi"/>
          <w:sz w:val="22"/>
          <w:szCs w:val="22"/>
        </w:rPr>
        <w:t xml:space="preserve">En una </w:t>
      </w:r>
      <w:r w:rsidRPr="00ED2C9D">
        <w:rPr>
          <w:rFonts w:asciiTheme="majorHAnsi" w:hAnsiTheme="majorHAnsi"/>
          <w:sz w:val="22"/>
          <w:szCs w:val="22"/>
          <w:u w:val="single"/>
        </w:rPr>
        <w:t xml:space="preserve">tercera </w:t>
      </w:r>
      <w:r>
        <w:rPr>
          <w:rFonts w:asciiTheme="majorHAnsi" w:hAnsiTheme="majorHAnsi"/>
          <w:sz w:val="22"/>
          <w:szCs w:val="22"/>
          <w:u w:val="single"/>
        </w:rPr>
        <w:t>fase</w:t>
      </w:r>
      <w:r w:rsidRPr="00EB6FC8">
        <w:rPr>
          <w:rFonts w:asciiTheme="majorHAnsi" w:hAnsiTheme="majorHAnsi"/>
          <w:sz w:val="22"/>
          <w:szCs w:val="22"/>
        </w:rPr>
        <w:t xml:space="preserve"> (2009- la actualidad) las </w:t>
      </w:r>
      <w:proofErr w:type="spellStart"/>
      <w:r w:rsidRPr="00EB6FC8">
        <w:rPr>
          <w:rFonts w:asciiTheme="majorHAnsi" w:hAnsiTheme="majorHAnsi"/>
          <w:sz w:val="22"/>
          <w:szCs w:val="22"/>
        </w:rPr>
        <w:t>Grides</w:t>
      </w:r>
      <w:proofErr w:type="spellEnd"/>
      <w:r w:rsidRPr="00EB6FC8">
        <w:rPr>
          <w:rFonts w:asciiTheme="majorHAnsi" w:hAnsiTheme="majorHAnsi"/>
          <w:sz w:val="22"/>
          <w:szCs w:val="22"/>
        </w:rPr>
        <w:t xml:space="preserve">, encontrándose más entre sí, se vinculan con otras, como las redes de municipalidades, la red de las Mesas de Concertación para la Lucha Contra la Pobreza, las redes de organizaciones </w:t>
      </w:r>
      <w:r>
        <w:rPr>
          <w:rFonts w:asciiTheme="majorHAnsi" w:hAnsiTheme="majorHAnsi"/>
          <w:sz w:val="22"/>
          <w:szCs w:val="22"/>
        </w:rPr>
        <w:t xml:space="preserve">de base y redes temáticas, donde se formaron el </w:t>
      </w:r>
      <w:proofErr w:type="spellStart"/>
      <w:r>
        <w:rPr>
          <w:rFonts w:asciiTheme="majorHAnsi" w:hAnsiTheme="majorHAnsi"/>
          <w:sz w:val="22"/>
          <w:szCs w:val="22"/>
        </w:rPr>
        <w:t>Gride</w:t>
      </w:r>
      <w:proofErr w:type="spellEnd"/>
      <w:r>
        <w:rPr>
          <w:rFonts w:asciiTheme="majorHAnsi" w:hAnsiTheme="majorHAnsi"/>
          <w:sz w:val="22"/>
          <w:szCs w:val="22"/>
        </w:rPr>
        <w:t xml:space="preserve"> Ancash, Apurímac, Lima, Red GRACC Cusco</w:t>
      </w:r>
      <w:r w:rsidRPr="00EB6FC8">
        <w:rPr>
          <w:rFonts w:asciiTheme="majorHAnsi" w:hAnsiTheme="majorHAnsi"/>
          <w:sz w:val="22"/>
          <w:szCs w:val="22"/>
        </w:rPr>
        <w:t xml:space="preserve"> En la actualidad se mantienen 11 GRIDES</w:t>
      </w:r>
      <w:r w:rsidRPr="00EB6FC8">
        <w:rPr>
          <w:rStyle w:val="Refdenotaalpie"/>
          <w:rFonts w:asciiTheme="majorHAnsi" w:hAnsiTheme="majorHAnsi"/>
          <w:sz w:val="22"/>
          <w:szCs w:val="22"/>
        </w:rPr>
        <w:footnoteReference w:id="2"/>
      </w:r>
      <w:r w:rsidRPr="00EB6FC8">
        <w:rPr>
          <w:rFonts w:asciiTheme="majorHAnsi" w:hAnsiTheme="majorHAnsi"/>
          <w:sz w:val="22"/>
          <w:szCs w:val="22"/>
        </w:rPr>
        <w:t xml:space="preserve"> y 2 redes</w:t>
      </w:r>
      <w:r w:rsidRPr="00EB6FC8">
        <w:rPr>
          <w:rStyle w:val="Refdenotaalpie"/>
          <w:rFonts w:asciiTheme="majorHAnsi" w:hAnsiTheme="majorHAnsi"/>
          <w:sz w:val="22"/>
          <w:szCs w:val="22"/>
        </w:rPr>
        <w:footnoteReference w:id="3"/>
      </w:r>
      <w:r w:rsidRPr="00EB6FC8">
        <w:rPr>
          <w:rFonts w:asciiTheme="majorHAnsi" w:hAnsiTheme="majorHAnsi"/>
          <w:sz w:val="22"/>
          <w:szCs w:val="22"/>
        </w:rPr>
        <w:t xml:space="preserve"> de Gestión del riesgo, las cuales agrupan organizaciones e instituciones con capacidad de incidencia en el tema de la gestión del riesgo, como las asociaciones de mujeres, niños, docentes, representantes del Estado (gobiernos locales, regionales y sectoriales), universidades, institutos de investigación, colegio profesionales, gremios laborales, agencias de cooperación, red de municipalidades, redes temáticas y las ONG</w:t>
      </w:r>
    </w:p>
    <w:p w:rsidR="00ED2C9D" w:rsidRDefault="00ED2C9D" w:rsidP="00B95E86">
      <w:pPr>
        <w:pStyle w:val="Default"/>
        <w:ind w:left="284"/>
        <w:rPr>
          <w:lang w:val="es-MX"/>
        </w:rPr>
      </w:pPr>
    </w:p>
    <w:p w:rsidR="00D72928" w:rsidRDefault="00D72928" w:rsidP="00B95E86">
      <w:pPr>
        <w:pStyle w:val="Pa0"/>
        <w:spacing w:line="240" w:lineRule="auto"/>
        <w:ind w:left="284"/>
        <w:jc w:val="both"/>
        <w:rPr>
          <w:rFonts w:asciiTheme="majorHAnsi" w:hAnsiTheme="majorHAnsi" w:cs="Frutiger LT 45 Light"/>
          <w:color w:val="000000"/>
          <w:sz w:val="22"/>
          <w:szCs w:val="22"/>
        </w:rPr>
      </w:pPr>
      <w:r w:rsidRPr="00EB6FC8">
        <w:rPr>
          <w:rFonts w:asciiTheme="majorHAnsi" w:hAnsiTheme="majorHAnsi" w:cs="Frutiger LT 45 Light"/>
          <w:color w:val="000000"/>
          <w:sz w:val="22"/>
          <w:szCs w:val="22"/>
        </w:rPr>
        <w:t>Los GRIDES estuvieron articulados inicialmente por ONG, pero buscan agrupar a todo tipo de organizaciones con</w:t>
      </w:r>
      <w:r w:rsidRPr="00D72928">
        <w:rPr>
          <w:noProof/>
          <w:lang w:eastAsia="es-MX"/>
        </w:rPr>
        <w:t xml:space="preserve"> </w:t>
      </w:r>
      <w:r w:rsidRPr="00EB6FC8">
        <w:rPr>
          <w:rFonts w:asciiTheme="majorHAnsi" w:hAnsiTheme="majorHAnsi" w:cs="Frutiger LT 45 Light"/>
          <w:color w:val="000000"/>
          <w:sz w:val="22"/>
          <w:szCs w:val="22"/>
        </w:rPr>
        <w:t xml:space="preserve"> capacidad de incidencia en el tema de la gestión del riesgo en las políticas públicas en todas las regiones del país.</w:t>
      </w:r>
    </w:p>
    <w:p w:rsidR="00D72928" w:rsidRDefault="00D72928" w:rsidP="00B95E86">
      <w:pPr>
        <w:pStyle w:val="Default"/>
        <w:ind w:left="284"/>
        <w:rPr>
          <w:lang w:val="es-MX"/>
        </w:rPr>
      </w:pPr>
    </w:p>
    <w:p w:rsidR="00D72928" w:rsidRDefault="00D72928" w:rsidP="00B95E86">
      <w:pPr>
        <w:pStyle w:val="Default"/>
        <w:ind w:left="284"/>
        <w:rPr>
          <w:lang w:val="es-MX"/>
        </w:rPr>
      </w:pPr>
    </w:p>
    <w:p w:rsidR="00D72928" w:rsidRPr="00D72928" w:rsidRDefault="00D72928" w:rsidP="00B95E86">
      <w:pPr>
        <w:spacing w:after="0" w:line="240" w:lineRule="auto"/>
        <w:ind w:left="284"/>
        <w:jc w:val="both"/>
        <w:rPr>
          <w:rFonts w:asciiTheme="majorHAnsi" w:hAnsiTheme="majorHAnsi" w:cs="Frutiger LT 45 Light"/>
          <w:b/>
          <w:color w:val="000000"/>
        </w:rPr>
      </w:pPr>
      <w:r w:rsidRPr="00D72928">
        <w:rPr>
          <w:rFonts w:asciiTheme="majorHAnsi" w:hAnsiTheme="majorHAnsi" w:cs="Frutiger LT 45 Light"/>
          <w:b/>
          <w:color w:val="000000"/>
        </w:rPr>
        <w:t>Porque y para que las GRIDES o REDES de GRD?</w:t>
      </w:r>
    </w:p>
    <w:p w:rsidR="00D72928" w:rsidRPr="00EB6FC8" w:rsidRDefault="00D72928" w:rsidP="00B95E86">
      <w:pPr>
        <w:spacing w:after="0" w:line="240" w:lineRule="auto"/>
        <w:ind w:left="284"/>
        <w:jc w:val="both"/>
        <w:rPr>
          <w:rFonts w:asciiTheme="majorHAnsi" w:hAnsiTheme="majorHAnsi" w:cs="Frutiger LT 45 Light"/>
          <w:color w:val="000000"/>
        </w:rPr>
      </w:pPr>
      <w:bookmarkStart w:id="0" w:name="_GoBack"/>
      <w:r>
        <w:rPr>
          <w:rFonts w:asciiTheme="majorHAnsi" w:hAnsiTheme="majorHAnsi" w:cs="Frutiger LT 45 Light"/>
          <w:color w:val="000000"/>
        </w:rPr>
        <w:t>Permite:</w:t>
      </w:r>
    </w:p>
    <w:p w:rsidR="00D72928" w:rsidRPr="00EB6FC8" w:rsidRDefault="00D72928" w:rsidP="00B95E86">
      <w:pPr>
        <w:numPr>
          <w:ilvl w:val="0"/>
          <w:numId w:val="1"/>
        </w:numPr>
        <w:spacing w:after="0" w:line="240" w:lineRule="auto"/>
        <w:jc w:val="both"/>
        <w:rPr>
          <w:rFonts w:asciiTheme="majorHAnsi" w:hAnsiTheme="majorHAnsi" w:cs="Arial"/>
        </w:rPr>
      </w:pPr>
      <w:r w:rsidRPr="00EB6FC8">
        <w:rPr>
          <w:rFonts w:asciiTheme="majorHAnsi" w:hAnsiTheme="majorHAnsi" w:cs="Arial"/>
          <w:lang w:val="es-PE"/>
        </w:rPr>
        <w:t xml:space="preserve">Incorporar la </w:t>
      </w:r>
      <w:r>
        <w:rPr>
          <w:rFonts w:asciiTheme="majorHAnsi" w:hAnsiTheme="majorHAnsi" w:cs="Arial"/>
          <w:lang w:val="es-PE"/>
        </w:rPr>
        <w:t>Gestión de Riesgos de Desastres</w:t>
      </w:r>
      <w:r w:rsidRPr="00EB6FC8">
        <w:rPr>
          <w:rFonts w:asciiTheme="majorHAnsi" w:hAnsiTheme="majorHAnsi" w:cs="Arial"/>
          <w:lang w:val="es-PE"/>
        </w:rPr>
        <w:t xml:space="preserve"> y  fortalecer capacidades de las instituciones y organizaciones locales.</w:t>
      </w:r>
    </w:p>
    <w:p w:rsidR="00D72928" w:rsidRPr="00EB6FC8" w:rsidRDefault="00D72928" w:rsidP="00B95E86">
      <w:pPr>
        <w:numPr>
          <w:ilvl w:val="0"/>
          <w:numId w:val="1"/>
        </w:numPr>
        <w:spacing w:after="0" w:line="240" w:lineRule="auto"/>
        <w:jc w:val="both"/>
        <w:rPr>
          <w:rFonts w:asciiTheme="majorHAnsi" w:hAnsiTheme="majorHAnsi" w:cs="Arial"/>
        </w:rPr>
      </w:pPr>
      <w:r>
        <w:rPr>
          <w:rFonts w:asciiTheme="majorHAnsi" w:hAnsiTheme="majorHAnsi" w:cs="Arial"/>
          <w:lang w:val="es-PE"/>
        </w:rPr>
        <w:t>Incorporar enfoques de derechos</w:t>
      </w:r>
      <w:r w:rsidRPr="00EB6FC8">
        <w:rPr>
          <w:rFonts w:asciiTheme="majorHAnsi" w:hAnsiTheme="majorHAnsi" w:cs="Arial"/>
          <w:lang w:val="es-PE"/>
        </w:rPr>
        <w:t xml:space="preserve">, interculturalidad, medios de vida en la </w:t>
      </w:r>
      <w:r>
        <w:rPr>
          <w:rFonts w:asciiTheme="majorHAnsi" w:hAnsiTheme="majorHAnsi" w:cs="Arial"/>
          <w:lang w:val="es-PE"/>
        </w:rPr>
        <w:t>Gestión de Riesgos de Desastres</w:t>
      </w:r>
      <w:r w:rsidRPr="00EB6FC8">
        <w:rPr>
          <w:rFonts w:asciiTheme="majorHAnsi" w:hAnsiTheme="majorHAnsi" w:cs="Arial"/>
          <w:lang w:val="es-PE"/>
        </w:rPr>
        <w:t>.</w:t>
      </w:r>
    </w:p>
    <w:p w:rsidR="00D72928" w:rsidRPr="00EB6FC8" w:rsidRDefault="00D72928" w:rsidP="00B95E86">
      <w:pPr>
        <w:numPr>
          <w:ilvl w:val="0"/>
          <w:numId w:val="1"/>
        </w:numPr>
        <w:spacing w:after="0" w:line="240" w:lineRule="auto"/>
        <w:jc w:val="both"/>
        <w:rPr>
          <w:rFonts w:asciiTheme="majorHAnsi" w:hAnsiTheme="majorHAnsi" w:cs="Arial"/>
        </w:rPr>
      </w:pPr>
      <w:r w:rsidRPr="00EB6FC8">
        <w:rPr>
          <w:rFonts w:asciiTheme="majorHAnsi" w:hAnsiTheme="majorHAnsi" w:cs="Arial"/>
          <w:lang w:val="es-PE"/>
        </w:rPr>
        <w:t xml:space="preserve">Incluir la </w:t>
      </w:r>
      <w:r>
        <w:rPr>
          <w:rFonts w:asciiTheme="majorHAnsi" w:hAnsiTheme="majorHAnsi" w:cs="Arial"/>
          <w:lang w:val="es-PE"/>
        </w:rPr>
        <w:t>Gestión de Riesgos de Desastres</w:t>
      </w:r>
      <w:r w:rsidRPr="00EB6FC8">
        <w:rPr>
          <w:rFonts w:asciiTheme="majorHAnsi" w:hAnsiTheme="majorHAnsi" w:cs="Arial"/>
          <w:lang w:val="es-PE"/>
        </w:rPr>
        <w:t xml:space="preserve"> y la A</w:t>
      </w:r>
      <w:r>
        <w:rPr>
          <w:rFonts w:asciiTheme="majorHAnsi" w:hAnsiTheme="majorHAnsi" w:cs="Arial"/>
          <w:lang w:val="es-PE"/>
        </w:rPr>
        <w:t>daptación al Cambio Climático</w:t>
      </w:r>
      <w:r w:rsidRPr="00EB6FC8">
        <w:rPr>
          <w:rFonts w:asciiTheme="majorHAnsi" w:hAnsiTheme="majorHAnsi" w:cs="Arial"/>
          <w:lang w:val="es-PE"/>
        </w:rPr>
        <w:t xml:space="preserve"> en las políticas, planes  y estrategias de desarrollo.</w:t>
      </w:r>
    </w:p>
    <w:p w:rsidR="00D72928" w:rsidRPr="00EB6FC8" w:rsidRDefault="00D72928" w:rsidP="00B95E86">
      <w:pPr>
        <w:numPr>
          <w:ilvl w:val="0"/>
          <w:numId w:val="1"/>
        </w:numPr>
        <w:spacing w:after="0" w:line="240" w:lineRule="auto"/>
        <w:jc w:val="both"/>
        <w:rPr>
          <w:rFonts w:asciiTheme="majorHAnsi" w:hAnsiTheme="majorHAnsi" w:cs="Arial"/>
        </w:rPr>
      </w:pPr>
      <w:r w:rsidRPr="00EB6FC8">
        <w:rPr>
          <w:rFonts w:asciiTheme="majorHAnsi" w:hAnsiTheme="majorHAnsi" w:cs="Arial"/>
          <w:lang w:val="es-PE"/>
        </w:rPr>
        <w:t xml:space="preserve">Fortalecer la gobernabilidad de la </w:t>
      </w:r>
      <w:r>
        <w:rPr>
          <w:rFonts w:asciiTheme="majorHAnsi" w:hAnsiTheme="majorHAnsi" w:cs="Arial"/>
          <w:lang w:val="es-PE"/>
        </w:rPr>
        <w:t>Gestión de Riesgos de Desastres</w:t>
      </w:r>
      <w:r w:rsidRPr="00EB6FC8">
        <w:rPr>
          <w:rFonts w:asciiTheme="majorHAnsi" w:hAnsiTheme="majorHAnsi" w:cs="Arial"/>
          <w:lang w:val="es-PE"/>
        </w:rPr>
        <w:t xml:space="preserve"> </w:t>
      </w:r>
      <w:r>
        <w:rPr>
          <w:rFonts w:asciiTheme="majorHAnsi" w:hAnsiTheme="majorHAnsi" w:cs="Arial"/>
          <w:lang w:val="es-PE"/>
        </w:rPr>
        <w:t>en los distintos niveles de gobierno</w:t>
      </w:r>
      <w:r w:rsidR="00FE2148">
        <w:rPr>
          <w:rFonts w:asciiTheme="majorHAnsi" w:hAnsiTheme="majorHAnsi" w:cs="Arial"/>
          <w:lang w:val="es-PE"/>
        </w:rPr>
        <w:t xml:space="preserve"> y con la comunidad</w:t>
      </w:r>
    </w:p>
    <w:p w:rsidR="00D72928" w:rsidRPr="00EB6FC8" w:rsidRDefault="00D72928" w:rsidP="00B95E86">
      <w:pPr>
        <w:numPr>
          <w:ilvl w:val="0"/>
          <w:numId w:val="3"/>
        </w:numPr>
        <w:spacing w:after="0" w:line="240" w:lineRule="auto"/>
        <w:jc w:val="both"/>
        <w:rPr>
          <w:rFonts w:asciiTheme="majorHAnsi" w:hAnsiTheme="majorHAnsi" w:cs="Arial"/>
        </w:rPr>
      </w:pPr>
      <w:r w:rsidRPr="00EB6FC8">
        <w:rPr>
          <w:rFonts w:asciiTheme="majorHAnsi" w:hAnsiTheme="majorHAnsi" w:cs="Arial"/>
          <w:lang w:val="es-PE"/>
        </w:rPr>
        <w:t>Mayor posibilidad de incidir conjuntamente en políticas</w:t>
      </w:r>
      <w:r>
        <w:rPr>
          <w:rFonts w:asciiTheme="majorHAnsi" w:hAnsiTheme="majorHAnsi" w:cs="Arial"/>
          <w:lang w:val="es-PE"/>
        </w:rPr>
        <w:t xml:space="preserve"> Gestión de Riesgos de Desastres</w:t>
      </w:r>
    </w:p>
    <w:p w:rsidR="00D72928" w:rsidRPr="00EB6FC8" w:rsidRDefault="00D72928" w:rsidP="00B95E86">
      <w:pPr>
        <w:numPr>
          <w:ilvl w:val="0"/>
          <w:numId w:val="3"/>
        </w:numPr>
        <w:spacing w:after="0" w:line="240" w:lineRule="auto"/>
        <w:jc w:val="both"/>
        <w:rPr>
          <w:rFonts w:asciiTheme="majorHAnsi" w:hAnsiTheme="majorHAnsi" w:cs="Arial"/>
        </w:rPr>
      </w:pPr>
      <w:r w:rsidRPr="00EB6FC8">
        <w:rPr>
          <w:rFonts w:asciiTheme="majorHAnsi" w:hAnsiTheme="majorHAnsi" w:cs="Arial"/>
          <w:lang w:val="es-PE"/>
        </w:rPr>
        <w:lastRenderedPageBreak/>
        <w:t>Aprendizaje en base</w:t>
      </w:r>
      <w:r>
        <w:rPr>
          <w:rFonts w:asciiTheme="majorHAnsi" w:hAnsiTheme="majorHAnsi" w:cs="Arial"/>
          <w:lang w:val="es-PE"/>
        </w:rPr>
        <w:t xml:space="preserve"> al intercambio de experiencias</w:t>
      </w:r>
    </w:p>
    <w:p w:rsidR="00D72928" w:rsidRDefault="00D72928" w:rsidP="00B95E86">
      <w:pPr>
        <w:numPr>
          <w:ilvl w:val="0"/>
          <w:numId w:val="3"/>
        </w:numPr>
        <w:spacing w:after="0" w:line="240" w:lineRule="auto"/>
        <w:jc w:val="both"/>
        <w:rPr>
          <w:rFonts w:asciiTheme="majorHAnsi" w:hAnsiTheme="majorHAnsi" w:cs="Arial"/>
        </w:rPr>
      </w:pPr>
      <w:r w:rsidRPr="00EB6FC8">
        <w:rPr>
          <w:rFonts w:asciiTheme="majorHAnsi" w:hAnsiTheme="majorHAnsi" w:cs="Arial"/>
          <w:lang w:val="es-PE"/>
        </w:rPr>
        <w:t>Más instituciones tratan el tema y posibilidad de realizar acciones en conjunto.</w:t>
      </w:r>
    </w:p>
    <w:p w:rsidR="00D72928" w:rsidRPr="00257950" w:rsidRDefault="00D72928" w:rsidP="00B95E86">
      <w:pPr>
        <w:numPr>
          <w:ilvl w:val="0"/>
          <w:numId w:val="3"/>
        </w:numPr>
        <w:spacing w:after="0" w:line="240" w:lineRule="auto"/>
        <w:jc w:val="both"/>
        <w:rPr>
          <w:rFonts w:asciiTheme="majorHAnsi" w:hAnsiTheme="majorHAnsi" w:cs="Arial"/>
        </w:rPr>
      </w:pPr>
      <w:r w:rsidRPr="00D72928">
        <w:rPr>
          <w:rFonts w:asciiTheme="majorHAnsi" w:hAnsiTheme="majorHAnsi" w:cs="Arial"/>
          <w:lang w:val="es-PE"/>
        </w:rPr>
        <w:t xml:space="preserve">Permite tener mirada local de las necesidades y la aplicación de las políticas de </w:t>
      </w:r>
      <w:r>
        <w:rPr>
          <w:rFonts w:asciiTheme="majorHAnsi" w:hAnsiTheme="majorHAnsi" w:cs="Arial"/>
          <w:lang w:val="es-PE"/>
        </w:rPr>
        <w:t>Gestión de Riesgos de Desastres</w:t>
      </w:r>
    </w:p>
    <w:p w:rsidR="00257950" w:rsidRPr="00D72928" w:rsidRDefault="00257950" w:rsidP="00B95E86">
      <w:pPr>
        <w:numPr>
          <w:ilvl w:val="0"/>
          <w:numId w:val="3"/>
        </w:numPr>
        <w:spacing w:after="0" w:line="240" w:lineRule="auto"/>
        <w:jc w:val="both"/>
        <w:rPr>
          <w:rFonts w:asciiTheme="majorHAnsi" w:hAnsiTheme="majorHAnsi" w:cs="Arial"/>
        </w:rPr>
      </w:pPr>
      <w:r>
        <w:rPr>
          <w:rFonts w:asciiTheme="majorHAnsi" w:hAnsiTheme="majorHAnsi" w:cs="Arial"/>
          <w:lang w:val="es-PE"/>
        </w:rPr>
        <w:t xml:space="preserve">Acercamiento de la población al estado y participación en la toma de decisiones </w:t>
      </w:r>
    </w:p>
    <w:p w:rsidR="00D72928" w:rsidRPr="00FE2148" w:rsidRDefault="00D72928" w:rsidP="00B95E86">
      <w:pPr>
        <w:numPr>
          <w:ilvl w:val="0"/>
          <w:numId w:val="1"/>
        </w:numPr>
        <w:spacing w:after="0" w:line="240" w:lineRule="auto"/>
        <w:jc w:val="both"/>
        <w:rPr>
          <w:rFonts w:asciiTheme="majorHAnsi" w:hAnsiTheme="majorHAnsi" w:cs="Arial"/>
        </w:rPr>
      </w:pPr>
      <w:r w:rsidRPr="00EB6FC8">
        <w:rPr>
          <w:rFonts w:asciiTheme="majorHAnsi" w:hAnsiTheme="majorHAnsi" w:cs="Arial"/>
          <w:lang w:val="es-PE"/>
        </w:rPr>
        <w:t>Investigación-acción sub-</w:t>
      </w:r>
      <w:r>
        <w:rPr>
          <w:rFonts w:asciiTheme="majorHAnsi" w:hAnsiTheme="majorHAnsi" w:cs="Arial"/>
          <w:lang w:val="es-PE"/>
        </w:rPr>
        <w:t>nacional y regional (potencial) para las acciones de Gestión de Riesgos de Desastres</w:t>
      </w:r>
      <w:r w:rsidRPr="00EB6FC8">
        <w:rPr>
          <w:rFonts w:asciiTheme="majorHAnsi" w:hAnsiTheme="majorHAnsi" w:cs="Arial"/>
          <w:lang w:val="es-PE"/>
        </w:rPr>
        <w:t xml:space="preserve"> y la A</w:t>
      </w:r>
      <w:r>
        <w:rPr>
          <w:rFonts w:asciiTheme="majorHAnsi" w:hAnsiTheme="majorHAnsi" w:cs="Arial"/>
          <w:lang w:val="es-PE"/>
        </w:rPr>
        <w:t>daptación al Cambio Climático</w:t>
      </w:r>
    </w:p>
    <w:p w:rsidR="00FE2148" w:rsidRPr="00EB6FC8" w:rsidRDefault="00FE2148" w:rsidP="00FE2148">
      <w:pPr>
        <w:numPr>
          <w:ilvl w:val="0"/>
          <w:numId w:val="1"/>
        </w:numPr>
        <w:spacing w:after="0" w:line="240" w:lineRule="auto"/>
        <w:jc w:val="both"/>
        <w:rPr>
          <w:rFonts w:asciiTheme="majorHAnsi" w:hAnsiTheme="majorHAnsi" w:cs="Arial"/>
        </w:rPr>
      </w:pPr>
      <w:r w:rsidRPr="00EB6FC8">
        <w:rPr>
          <w:rFonts w:asciiTheme="majorHAnsi" w:hAnsiTheme="majorHAnsi" w:cs="Arial"/>
          <w:lang w:val="es-PE"/>
        </w:rPr>
        <w:t>Incorporar a organizaciones de base y comunidades nativas.</w:t>
      </w:r>
    </w:p>
    <w:p w:rsidR="00FE2148" w:rsidRPr="00EB6FC8" w:rsidRDefault="00FE2148" w:rsidP="00FE2148">
      <w:pPr>
        <w:numPr>
          <w:ilvl w:val="0"/>
          <w:numId w:val="1"/>
        </w:numPr>
        <w:spacing w:after="0" w:line="240" w:lineRule="auto"/>
        <w:jc w:val="both"/>
        <w:rPr>
          <w:rFonts w:asciiTheme="majorHAnsi" w:hAnsiTheme="majorHAnsi" w:cs="Arial"/>
        </w:rPr>
      </w:pPr>
      <w:r>
        <w:rPr>
          <w:rFonts w:asciiTheme="majorHAnsi" w:hAnsiTheme="majorHAnsi" w:cs="Arial"/>
          <w:lang w:val="es-PE"/>
        </w:rPr>
        <w:t>Incorporar e</w:t>
      </w:r>
      <w:r w:rsidRPr="00EB6FC8">
        <w:rPr>
          <w:rFonts w:asciiTheme="majorHAnsi" w:hAnsiTheme="majorHAnsi" w:cs="Arial"/>
          <w:lang w:val="es-PE"/>
        </w:rPr>
        <w:t>nfoques de género y derechos de l</w:t>
      </w:r>
      <w:r>
        <w:rPr>
          <w:rFonts w:asciiTheme="majorHAnsi" w:hAnsiTheme="majorHAnsi" w:cs="Arial"/>
          <w:lang w:val="es-PE"/>
        </w:rPr>
        <w:t xml:space="preserve">a niñez </w:t>
      </w:r>
    </w:p>
    <w:p w:rsidR="00FE2148" w:rsidRPr="00EB6FC8" w:rsidRDefault="00FE2148" w:rsidP="00FE2148">
      <w:pPr>
        <w:numPr>
          <w:ilvl w:val="0"/>
          <w:numId w:val="1"/>
        </w:numPr>
        <w:spacing w:after="0" w:line="240" w:lineRule="auto"/>
        <w:jc w:val="both"/>
        <w:rPr>
          <w:rFonts w:asciiTheme="majorHAnsi" w:hAnsiTheme="majorHAnsi" w:cs="Arial"/>
        </w:rPr>
      </w:pPr>
      <w:r w:rsidRPr="00EB6FC8">
        <w:rPr>
          <w:rFonts w:asciiTheme="majorHAnsi" w:hAnsiTheme="majorHAnsi" w:cs="Arial"/>
          <w:lang w:val="es-PE"/>
        </w:rPr>
        <w:t>Influencia a través de los medios de comunicación local.</w:t>
      </w:r>
    </w:p>
    <w:bookmarkEnd w:id="0"/>
    <w:p w:rsidR="00D72928" w:rsidRPr="00D72928" w:rsidRDefault="00D72928" w:rsidP="00B95E86">
      <w:pPr>
        <w:spacing w:after="0" w:line="240" w:lineRule="auto"/>
        <w:jc w:val="both"/>
        <w:rPr>
          <w:rFonts w:asciiTheme="majorHAnsi" w:hAnsiTheme="majorHAnsi" w:cs="Arial"/>
        </w:rPr>
      </w:pPr>
    </w:p>
    <w:p w:rsidR="00A206AB" w:rsidRDefault="00A206AB" w:rsidP="00B95E86">
      <w:pPr>
        <w:spacing w:after="0" w:line="240" w:lineRule="auto"/>
        <w:jc w:val="both"/>
        <w:rPr>
          <w:rFonts w:asciiTheme="majorHAnsi" w:hAnsiTheme="majorHAnsi" w:cs="Arial"/>
        </w:rPr>
      </w:pPr>
    </w:p>
    <w:p w:rsidR="00A206AB" w:rsidRPr="00A206AB" w:rsidRDefault="00A206AB" w:rsidP="00B95E86">
      <w:pPr>
        <w:spacing w:after="0" w:line="240" w:lineRule="auto"/>
        <w:jc w:val="both"/>
        <w:rPr>
          <w:rFonts w:asciiTheme="majorHAnsi" w:hAnsiTheme="majorHAnsi" w:cs="Arial"/>
          <w:b/>
          <w:sz w:val="26"/>
          <w:szCs w:val="26"/>
        </w:rPr>
      </w:pPr>
      <w:r>
        <w:rPr>
          <w:rFonts w:asciiTheme="majorHAnsi" w:hAnsiTheme="majorHAnsi" w:cs="Arial"/>
          <w:b/>
          <w:sz w:val="26"/>
          <w:szCs w:val="26"/>
        </w:rPr>
        <w:t xml:space="preserve">Participación y </w:t>
      </w:r>
      <w:r w:rsidRPr="00A206AB">
        <w:rPr>
          <w:rFonts w:asciiTheme="majorHAnsi" w:hAnsiTheme="majorHAnsi" w:cs="Arial"/>
          <w:b/>
          <w:sz w:val="26"/>
          <w:szCs w:val="26"/>
        </w:rPr>
        <w:t xml:space="preserve"> Articulación de la Gestión de Riesgos de Desastres</w:t>
      </w:r>
      <w:r>
        <w:rPr>
          <w:rFonts w:asciiTheme="majorHAnsi" w:hAnsiTheme="majorHAnsi" w:cs="Arial"/>
          <w:b/>
          <w:sz w:val="26"/>
          <w:szCs w:val="26"/>
        </w:rPr>
        <w:t xml:space="preserve"> en el </w:t>
      </w:r>
      <w:r w:rsidR="00E2279D">
        <w:rPr>
          <w:rFonts w:asciiTheme="majorHAnsi" w:hAnsiTheme="majorHAnsi" w:cs="Arial"/>
          <w:b/>
          <w:sz w:val="26"/>
          <w:szCs w:val="26"/>
        </w:rPr>
        <w:t>Perú</w:t>
      </w:r>
    </w:p>
    <w:p w:rsidR="00A206AB" w:rsidRPr="00E2279D" w:rsidRDefault="00E2279D" w:rsidP="00B95E86">
      <w:pPr>
        <w:tabs>
          <w:tab w:val="left" w:pos="284"/>
          <w:tab w:val="num" w:pos="360"/>
        </w:tabs>
        <w:spacing w:after="0" w:line="240" w:lineRule="auto"/>
        <w:jc w:val="both"/>
        <w:rPr>
          <w:rFonts w:asciiTheme="majorHAnsi" w:hAnsiTheme="majorHAnsi" w:cs="Ayuthaya"/>
        </w:rPr>
      </w:pPr>
      <w:r w:rsidRPr="004756E9">
        <w:rPr>
          <w:rFonts w:asciiTheme="majorHAnsi" w:hAnsiTheme="majorHAnsi" w:cs="Arial"/>
          <w:noProof/>
          <w:sz w:val="20"/>
          <w:szCs w:val="20"/>
          <w:lang w:eastAsia="es-MX"/>
        </w:rPr>
        <w:drawing>
          <wp:anchor distT="0" distB="0" distL="114300" distR="114300" simplePos="0" relativeHeight="251660288" behindDoc="0" locked="0" layoutInCell="1" allowOverlap="1" wp14:anchorId="2CEC8A0C" wp14:editId="0978A702">
            <wp:simplePos x="0" y="0"/>
            <wp:positionH relativeFrom="column">
              <wp:posOffset>2047875</wp:posOffset>
            </wp:positionH>
            <wp:positionV relativeFrom="paragraph">
              <wp:posOffset>1459230</wp:posOffset>
            </wp:positionV>
            <wp:extent cx="3634740" cy="2725420"/>
            <wp:effectExtent l="0" t="0" r="3810" b="0"/>
            <wp:wrapSquare wrapText="bothSides"/>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4740" cy="2725420"/>
                    </a:xfrm>
                    <a:prstGeom prst="rect">
                      <a:avLst/>
                    </a:prstGeom>
                    <a:noFill/>
                    <a:ln>
                      <a:noFill/>
                    </a:ln>
                  </pic:spPr>
                </pic:pic>
              </a:graphicData>
            </a:graphic>
            <wp14:sizeRelH relativeFrom="page">
              <wp14:pctWidth>0</wp14:pctWidth>
            </wp14:sizeRelH>
            <wp14:sizeRelV relativeFrom="page">
              <wp14:pctHeight>0</wp14:pctHeight>
            </wp14:sizeRelV>
          </wp:anchor>
        </w:drawing>
      </w:r>
      <w:r w:rsidR="00A206AB" w:rsidRPr="00A206AB">
        <w:rPr>
          <w:rFonts w:asciiTheme="majorHAnsi" w:hAnsiTheme="majorHAnsi" w:cs="Ayuthaya"/>
          <w:lang w:val="es-ES_tradnl"/>
        </w:rPr>
        <w:t xml:space="preserve">La </w:t>
      </w:r>
      <w:r w:rsidR="00A206AB" w:rsidRPr="00A206AB">
        <w:rPr>
          <w:rFonts w:asciiTheme="majorHAnsi" w:hAnsiTheme="majorHAnsi" w:cs="Ayuthaya"/>
          <w:b/>
          <w:lang w:val="es-ES_tradnl"/>
        </w:rPr>
        <w:t xml:space="preserve">participación para la Gestión del Riesgo de Desastres, </w:t>
      </w:r>
      <w:r w:rsidR="00A206AB" w:rsidRPr="00A206AB">
        <w:rPr>
          <w:rFonts w:asciiTheme="majorHAnsi" w:hAnsiTheme="majorHAnsi" w:cs="Ayuthaya"/>
          <w:lang w:val="es-ES_tradnl"/>
        </w:rPr>
        <w:t>se refiere al proceso social que resulta de la acción intencional de todos y cada uno de los miembros del SINAGERD, de manera individual o grupal, en busca del propósito de reducir y prevenir los riesgos y desastres. La participación juega un papel determinante en la orientación de la Política Nacional de GRD y se ejerce cuando existe la voluntad política de los gobiernos en todos sus niveles de generar oportunidades y abrir los espacios para el ejercicio de la participación y, por otro lado, la existencia de ciudadanos y ciudadanas, organizaciones sociales y agentes participativos que, más allá de sólo sentar presencia o asistencia a los espacios, hacen uso de esas oportunidades y de su capacidad de liderazgo y compromiso, y las traducen es acciones encaminadas a democratizar y cualificar los resultados de, en este caso, la gestión del riesgo de desastres</w:t>
      </w:r>
    </w:p>
    <w:p w:rsidR="00A206AB" w:rsidRPr="00A206AB" w:rsidRDefault="00A206AB" w:rsidP="00B95E86">
      <w:pPr>
        <w:tabs>
          <w:tab w:val="left" w:pos="284"/>
          <w:tab w:val="num" w:pos="360"/>
        </w:tabs>
        <w:spacing w:after="0" w:line="240" w:lineRule="auto"/>
        <w:jc w:val="both"/>
        <w:rPr>
          <w:rFonts w:asciiTheme="majorHAnsi" w:hAnsiTheme="majorHAnsi" w:cs="Ayuthaya"/>
          <w:lang w:val="es-ES_tradnl"/>
        </w:rPr>
      </w:pPr>
    </w:p>
    <w:p w:rsidR="00A206AB" w:rsidRPr="00A206AB" w:rsidRDefault="00E2279D" w:rsidP="00B95E86">
      <w:pPr>
        <w:tabs>
          <w:tab w:val="left" w:pos="284"/>
          <w:tab w:val="num" w:pos="360"/>
        </w:tabs>
        <w:spacing w:after="0" w:line="240" w:lineRule="auto"/>
        <w:jc w:val="both"/>
        <w:rPr>
          <w:rFonts w:asciiTheme="majorHAnsi" w:hAnsiTheme="majorHAnsi" w:cs="Ayuthaya"/>
          <w:lang w:val="es-ES_tradnl"/>
        </w:rPr>
      </w:pPr>
      <w:r>
        <w:rPr>
          <w:rFonts w:asciiTheme="majorHAnsi" w:hAnsiTheme="majorHAnsi" w:cs="Ayuthaya"/>
          <w:b/>
          <w:lang w:val="es-ES_tradnl"/>
        </w:rPr>
        <w:t>La</w:t>
      </w:r>
      <w:r w:rsidR="00A206AB" w:rsidRPr="00A206AB">
        <w:rPr>
          <w:rFonts w:asciiTheme="majorHAnsi" w:hAnsiTheme="majorHAnsi" w:cs="Ayuthaya"/>
          <w:lang w:val="es-ES_tradnl"/>
        </w:rPr>
        <w:t xml:space="preserve"> </w:t>
      </w:r>
      <w:r w:rsidR="00A206AB" w:rsidRPr="00A206AB">
        <w:rPr>
          <w:rFonts w:asciiTheme="majorHAnsi" w:hAnsiTheme="majorHAnsi" w:cs="Ayuthaya"/>
          <w:b/>
          <w:lang w:val="es-ES_tradnl"/>
        </w:rPr>
        <w:t>articulación para la Gestión del Riesgo de Desastres</w:t>
      </w:r>
      <w:r w:rsidR="00A206AB" w:rsidRPr="00A206AB">
        <w:rPr>
          <w:rFonts w:asciiTheme="majorHAnsi" w:hAnsiTheme="majorHAnsi" w:cs="Ayuthaya"/>
          <w:lang w:val="es-ES_tradnl"/>
        </w:rPr>
        <w:t xml:space="preserve"> </w:t>
      </w:r>
      <w:r w:rsidRPr="00A206AB">
        <w:rPr>
          <w:rFonts w:asciiTheme="majorHAnsi" w:hAnsiTheme="majorHAnsi" w:cs="Ayuthaya"/>
          <w:lang w:val="es-ES_tradnl"/>
        </w:rPr>
        <w:t>está</w:t>
      </w:r>
      <w:r w:rsidR="00A206AB" w:rsidRPr="00A206AB">
        <w:rPr>
          <w:rFonts w:asciiTheme="majorHAnsi" w:hAnsiTheme="majorHAnsi" w:cs="Ayuthaya"/>
          <w:lang w:val="es-ES_tradnl"/>
        </w:rPr>
        <w:t xml:space="preserve"> asociada a espacios, procesos o mecanismos que permitan relacionar las diferentes entidades y miembros del SINAGERD –autoridades, sector público, sector privado, sociedad civil y la población en general-, bajo el objetivo común de reducir los riesgos y desastres, lo que podría ir más allá de sus intereses particulares o sectoriales; cooperando, negociando y concertando para lograr el objetivo de reducir la vulnerabilidad de la población. Es una oportunidad y espacio de encuentro, integración e intercambio de visiones y aspectos/agendas del desarrollo, en donde se pueden favorecer y establecer acuerdos y alianzas coyunturales o de mayor alcance. Un espacio, proceso o mecanismo cuyo sentido es vincular además los distintos niveles: nacional, regional y local</w:t>
      </w:r>
    </w:p>
    <w:p w:rsidR="00A206AB" w:rsidRPr="00EB6FC8" w:rsidRDefault="00A206AB" w:rsidP="00B95E86">
      <w:pPr>
        <w:tabs>
          <w:tab w:val="left" w:pos="284"/>
          <w:tab w:val="num" w:pos="360"/>
        </w:tabs>
        <w:spacing w:after="0" w:line="240" w:lineRule="auto"/>
        <w:jc w:val="both"/>
        <w:rPr>
          <w:rFonts w:asciiTheme="majorHAnsi" w:hAnsiTheme="majorHAnsi" w:cs="Ayuthaya"/>
          <w:lang w:val="es-ES_tradnl"/>
        </w:rPr>
      </w:pPr>
    </w:p>
    <w:p w:rsidR="00A206AB" w:rsidRPr="00EB6FC8" w:rsidRDefault="00A206AB" w:rsidP="00B95E86">
      <w:pPr>
        <w:tabs>
          <w:tab w:val="left" w:pos="284"/>
          <w:tab w:val="num" w:pos="360"/>
        </w:tabs>
        <w:spacing w:after="0" w:line="240" w:lineRule="auto"/>
        <w:jc w:val="both"/>
        <w:rPr>
          <w:rFonts w:asciiTheme="majorHAnsi" w:hAnsiTheme="majorHAnsi" w:cs="Ayuthaya"/>
          <w:sz w:val="20"/>
          <w:szCs w:val="20"/>
          <w:lang w:val="es-ES_tradnl"/>
        </w:rPr>
      </w:pPr>
    </w:p>
    <w:p w:rsidR="00D72928" w:rsidRPr="00E2279D" w:rsidRDefault="00D72928" w:rsidP="00B95E86">
      <w:pPr>
        <w:spacing w:after="0" w:line="240" w:lineRule="auto"/>
        <w:jc w:val="both"/>
        <w:rPr>
          <w:rFonts w:asciiTheme="majorHAnsi" w:hAnsiTheme="majorHAnsi" w:cs="Arial"/>
          <w:b/>
          <w:sz w:val="26"/>
          <w:szCs w:val="26"/>
        </w:rPr>
      </w:pPr>
      <w:r w:rsidRPr="00E2279D">
        <w:rPr>
          <w:rFonts w:asciiTheme="majorHAnsi" w:hAnsiTheme="majorHAnsi" w:cs="Arial"/>
          <w:b/>
          <w:sz w:val="26"/>
          <w:szCs w:val="26"/>
        </w:rPr>
        <w:lastRenderedPageBreak/>
        <w:t xml:space="preserve">Lecciones </w:t>
      </w:r>
      <w:r w:rsidR="00E2279D" w:rsidRPr="00E2279D">
        <w:rPr>
          <w:rFonts w:asciiTheme="majorHAnsi" w:hAnsiTheme="majorHAnsi" w:cs="Arial"/>
          <w:b/>
          <w:sz w:val="26"/>
          <w:szCs w:val="26"/>
        </w:rPr>
        <w:t>Aprendidas</w:t>
      </w:r>
    </w:p>
    <w:p w:rsidR="00E2279D" w:rsidRPr="00B95E86" w:rsidRDefault="00E2279D" w:rsidP="00B95E86">
      <w:pPr>
        <w:pStyle w:val="Prrafodelista"/>
        <w:numPr>
          <w:ilvl w:val="0"/>
          <w:numId w:val="5"/>
        </w:numPr>
        <w:spacing w:after="0" w:line="240" w:lineRule="auto"/>
        <w:ind w:left="714" w:hanging="357"/>
        <w:jc w:val="both"/>
        <w:rPr>
          <w:rFonts w:asciiTheme="majorHAnsi" w:hAnsiTheme="majorHAnsi" w:cs="Arial"/>
        </w:rPr>
      </w:pPr>
      <w:r w:rsidRPr="00B95E86">
        <w:rPr>
          <w:rFonts w:asciiTheme="majorHAnsi" w:hAnsiTheme="majorHAnsi" w:cs="Arial"/>
        </w:rPr>
        <w:t xml:space="preserve">Las Redes de GRD  </w:t>
      </w:r>
      <w:r w:rsidR="00257950">
        <w:rPr>
          <w:rFonts w:asciiTheme="majorHAnsi" w:hAnsiTheme="majorHAnsi" w:cs="Arial"/>
        </w:rPr>
        <w:t>se originan</w:t>
      </w:r>
      <w:r w:rsidR="00D72928" w:rsidRPr="00B95E86">
        <w:rPr>
          <w:rFonts w:asciiTheme="majorHAnsi" w:hAnsiTheme="majorHAnsi" w:cs="Arial"/>
          <w:lang w:val="es-ES_tradnl"/>
        </w:rPr>
        <w:t xml:space="preserve"> tras una coyuntura de desastres, fomentado por algún proyecto, o a i</w:t>
      </w:r>
      <w:r w:rsidR="00B95E86" w:rsidRPr="00B95E86">
        <w:rPr>
          <w:rFonts w:asciiTheme="majorHAnsi" w:hAnsiTheme="majorHAnsi" w:cs="Arial"/>
          <w:lang w:val="es-ES_tradnl"/>
        </w:rPr>
        <w:t xml:space="preserve">niciativa de </w:t>
      </w:r>
      <w:proofErr w:type="spellStart"/>
      <w:r w:rsidR="00B95E86" w:rsidRPr="00B95E86">
        <w:rPr>
          <w:rFonts w:asciiTheme="majorHAnsi" w:hAnsiTheme="majorHAnsi" w:cs="Arial"/>
          <w:lang w:val="es-ES_tradnl"/>
        </w:rPr>
        <w:t>ONGs</w:t>
      </w:r>
      <w:proofErr w:type="spellEnd"/>
      <w:r w:rsidR="00B95E86" w:rsidRPr="00B95E86">
        <w:rPr>
          <w:rFonts w:asciiTheme="majorHAnsi" w:hAnsiTheme="majorHAnsi" w:cs="Arial"/>
          <w:lang w:val="es-ES_tradnl"/>
        </w:rPr>
        <w:t xml:space="preserve"> </w:t>
      </w:r>
    </w:p>
    <w:p w:rsidR="009760A8" w:rsidRPr="009760A8" w:rsidRDefault="00B95E86" w:rsidP="00B95E86">
      <w:pPr>
        <w:pStyle w:val="Prrafodelista"/>
        <w:numPr>
          <w:ilvl w:val="0"/>
          <w:numId w:val="5"/>
        </w:numPr>
        <w:spacing w:after="0" w:line="240" w:lineRule="auto"/>
        <w:ind w:left="714" w:hanging="357"/>
        <w:jc w:val="both"/>
        <w:rPr>
          <w:rFonts w:asciiTheme="majorHAnsi" w:hAnsiTheme="majorHAnsi" w:cs="Arial"/>
        </w:rPr>
      </w:pPr>
      <w:r w:rsidRPr="00B95E86">
        <w:rPr>
          <w:rFonts w:asciiTheme="majorHAnsi" w:hAnsiTheme="majorHAnsi" w:cs="Arial"/>
          <w:lang w:val="es-ES_tradnl"/>
        </w:rPr>
        <w:t xml:space="preserve">En las redes la permanencia no es constante, la participación de </w:t>
      </w:r>
      <w:r w:rsidR="009760A8">
        <w:rPr>
          <w:rFonts w:asciiTheme="majorHAnsi" w:hAnsiTheme="majorHAnsi" w:cs="Arial"/>
          <w:lang w:val="es-ES_tradnl"/>
        </w:rPr>
        <w:t>actores</w:t>
      </w:r>
      <w:r w:rsidRPr="00B95E86">
        <w:rPr>
          <w:rFonts w:asciiTheme="majorHAnsi" w:hAnsiTheme="majorHAnsi" w:cs="Arial"/>
          <w:lang w:val="es-ES_tradnl"/>
        </w:rPr>
        <w:t xml:space="preserve"> de gobierno está en función del tipo de gobierno o el compromiso de las personas. </w:t>
      </w:r>
    </w:p>
    <w:p w:rsidR="00B95E86" w:rsidRPr="00B95E86" w:rsidRDefault="009760A8" w:rsidP="00B95E86">
      <w:pPr>
        <w:pStyle w:val="Prrafodelista"/>
        <w:numPr>
          <w:ilvl w:val="0"/>
          <w:numId w:val="5"/>
        </w:numPr>
        <w:spacing w:after="0" w:line="240" w:lineRule="auto"/>
        <w:ind w:left="714" w:hanging="357"/>
        <w:jc w:val="both"/>
        <w:rPr>
          <w:rFonts w:asciiTheme="majorHAnsi" w:hAnsiTheme="majorHAnsi" w:cs="Arial"/>
        </w:rPr>
      </w:pPr>
      <w:r>
        <w:rPr>
          <w:rFonts w:asciiTheme="majorHAnsi" w:hAnsiTheme="majorHAnsi" w:cs="Arial"/>
          <w:lang w:val="es-ES_tradnl"/>
        </w:rPr>
        <w:t>La presenci</w:t>
      </w:r>
      <w:r w:rsidR="00FE2148">
        <w:rPr>
          <w:rFonts w:asciiTheme="majorHAnsi" w:hAnsiTheme="majorHAnsi" w:cs="Arial"/>
          <w:lang w:val="es-ES_tradnl"/>
        </w:rPr>
        <w:t>a de El Fenómeno de El Niño (EL</w:t>
      </w:r>
      <w:r>
        <w:rPr>
          <w:rFonts w:asciiTheme="majorHAnsi" w:hAnsiTheme="majorHAnsi" w:cs="Arial"/>
          <w:lang w:val="es-ES_tradnl"/>
        </w:rPr>
        <w:t xml:space="preserve">FEN) </w:t>
      </w:r>
      <w:r w:rsidR="00B95E86" w:rsidRPr="00B95E86">
        <w:rPr>
          <w:rFonts w:asciiTheme="majorHAnsi" w:hAnsiTheme="majorHAnsi" w:cs="Arial"/>
          <w:lang w:val="es-ES_tradnl"/>
        </w:rPr>
        <w:t>dinamizó todo el tema en la región y fortaleció la dinámica de estas redes</w:t>
      </w:r>
    </w:p>
    <w:p w:rsidR="00B95E86" w:rsidRPr="00B95E86" w:rsidRDefault="00B95E86" w:rsidP="00B95E86">
      <w:pPr>
        <w:pStyle w:val="Prrafodelista"/>
        <w:numPr>
          <w:ilvl w:val="0"/>
          <w:numId w:val="5"/>
        </w:numPr>
        <w:spacing w:after="0" w:line="240" w:lineRule="auto"/>
        <w:ind w:left="714" w:hanging="357"/>
        <w:jc w:val="both"/>
        <w:rPr>
          <w:rFonts w:asciiTheme="majorHAnsi" w:hAnsiTheme="majorHAnsi" w:cs="Arial"/>
        </w:rPr>
      </w:pPr>
      <w:r w:rsidRPr="00B95E86">
        <w:rPr>
          <w:rFonts w:asciiTheme="majorHAnsi" w:hAnsiTheme="majorHAnsi" w:cs="Ayuthaya"/>
          <w:lang w:val="es-ES_tradnl"/>
        </w:rPr>
        <w:t>Las redes tienen grandes ventajas y potencialidades de participación, intercambio e incidencia; permite estandarizar documentos de gestión, difundir mensajes y transitar hacia la articulación</w:t>
      </w:r>
    </w:p>
    <w:p w:rsidR="00B95E86" w:rsidRPr="00B95E86" w:rsidRDefault="00B95E86" w:rsidP="00B95E86">
      <w:pPr>
        <w:pStyle w:val="Prrafodelista"/>
        <w:numPr>
          <w:ilvl w:val="0"/>
          <w:numId w:val="5"/>
        </w:numPr>
        <w:spacing w:after="0" w:line="240" w:lineRule="auto"/>
        <w:ind w:left="714" w:hanging="357"/>
        <w:jc w:val="both"/>
        <w:rPr>
          <w:rFonts w:asciiTheme="majorHAnsi" w:hAnsiTheme="majorHAnsi" w:cs="Arial"/>
        </w:rPr>
      </w:pPr>
      <w:r w:rsidRPr="00B95E86">
        <w:rPr>
          <w:rFonts w:asciiTheme="majorHAnsi" w:hAnsiTheme="majorHAnsi"/>
          <w:lang w:val="es-ES_tradnl"/>
        </w:rPr>
        <w:t xml:space="preserve">Las redes cumplen un rol importante al hacer incidencia e impulsando estrategias que involucran u orientan a </w:t>
      </w:r>
      <w:r w:rsidRPr="00B95E86">
        <w:rPr>
          <w:rFonts w:asciiTheme="majorHAnsi" w:hAnsiTheme="majorHAnsi" w:cs="Ayuthaya"/>
          <w:lang w:val="es-ES_tradnl"/>
        </w:rPr>
        <w:t>tomadores</w:t>
      </w:r>
      <w:r w:rsidRPr="00B95E86">
        <w:rPr>
          <w:rFonts w:asciiTheme="majorHAnsi" w:hAnsiTheme="majorHAnsi"/>
          <w:lang w:val="es-ES_tradnl"/>
        </w:rPr>
        <w:t xml:space="preserve"> de decisión. Incidir es su razón de ser, pero </w:t>
      </w:r>
      <w:r w:rsidR="009760A8">
        <w:rPr>
          <w:rFonts w:asciiTheme="majorHAnsi" w:hAnsiTheme="majorHAnsi"/>
          <w:lang w:val="es-ES_tradnl"/>
        </w:rPr>
        <w:t>es importante</w:t>
      </w:r>
      <w:r w:rsidRPr="00B95E86">
        <w:rPr>
          <w:rFonts w:asciiTheme="majorHAnsi" w:hAnsiTheme="majorHAnsi"/>
          <w:lang w:val="es-ES_tradnl"/>
        </w:rPr>
        <w:t xml:space="preserve"> no atribuirse funciones que son atribuciones del Estado. Pueden tener un rol importante de trabajar y apoyar a los GTGRD y a la Plataforma de DC</w:t>
      </w:r>
    </w:p>
    <w:p w:rsidR="00B95E86" w:rsidRPr="00B95E86" w:rsidRDefault="00B95E86" w:rsidP="00B95E86">
      <w:pPr>
        <w:pStyle w:val="Prrafodelista"/>
        <w:numPr>
          <w:ilvl w:val="0"/>
          <w:numId w:val="5"/>
        </w:numPr>
        <w:spacing w:after="0" w:line="240" w:lineRule="auto"/>
        <w:ind w:left="714" w:hanging="357"/>
        <w:jc w:val="both"/>
        <w:rPr>
          <w:rFonts w:asciiTheme="majorHAnsi" w:hAnsiTheme="majorHAnsi" w:cs="Arial"/>
        </w:rPr>
      </w:pPr>
      <w:r w:rsidRPr="00B95E86">
        <w:rPr>
          <w:rFonts w:asciiTheme="majorHAnsi" w:hAnsiTheme="majorHAnsi" w:cs="Arial"/>
          <w:lang w:val="es-ES_tradnl"/>
        </w:rPr>
        <w:t>Ante la diversidad de espacios de participación existente en las regiones, hay pendiente una definición de estos espacios: su esencia, hacia dónde van, permanencia o complementariedad con otras redes. Mapeo de espacios existentes y su accionar en las regiones impulsando implementación del PLANAGERD 2014-2021.</w:t>
      </w:r>
    </w:p>
    <w:p w:rsidR="00B95E86" w:rsidRPr="00B95E86" w:rsidRDefault="00B95E86" w:rsidP="00B95E86">
      <w:pPr>
        <w:pStyle w:val="Prrafodelista"/>
        <w:numPr>
          <w:ilvl w:val="0"/>
          <w:numId w:val="5"/>
        </w:numPr>
        <w:spacing w:after="0" w:line="240" w:lineRule="auto"/>
        <w:ind w:left="714" w:hanging="357"/>
        <w:jc w:val="both"/>
        <w:rPr>
          <w:rFonts w:asciiTheme="majorHAnsi" w:hAnsiTheme="majorHAnsi" w:cs="Arial"/>
          <w:lang w:val="es-ES_tradnl"/>
        </w:rPr>
      </w:pPr>
      <w:r w:rsidRPr="00B95E86">
        <w:rPr>
          <w:rFonts w:asciiTheme="majorHAnsi" w:hAnsiTheme="majorHAnsi" w:cs="Arial"/>
          <w:lang w:val="es-ES_tradnl"/>
        </w:rPr>
        <w:t xml:space="preserve">Importancia en hacer evidente el tema, visible e importante, promover su integración a otros espacios de representatividad regional, desde el Gobierno Regional o Municipal, entidades públicas y espacios de concertación </w:t>
      </w:r>
    </w:p>
    <w:p w:rsidR="00B95E86" w:rsidRPr="00B95E86" w:rsidRDefault="00B95E86" w:rsidP="00B95E86">
      <w:pPr>
        <w:pStyle w:val="Prrafodelista"/>
        <w:numPr>
          <w:ilvl w:val="0"/>
          <w:numId w:val="5"/>
        </w:numPr>
        <w:autoSpaceDE w:val="0"/>
        <w:autoSpaceDN w:val="0"/>
        <w:adjustRightInd w:val="0"/>
        <w:spacing w:after="0" w:line="240" w:lineRule="auto"/>
        <w:ind w:left="714" w:hanging="357"/>
        <w:contextualSpacing w:val="0"/>
        <w:jc w:val="both"/>
        <w:rPr>
          <w:rFonts w:asciiTheme="majorHAnsi" w:hAnsiTheme="majorHAnsi" w:cs="Arial"/>
          <w:lang w:val="es-ES_tradnl"/>
        </w:rPr>
      </w:pPr>
      <w:r w:rsidRPr="00B95E86">
        <w:rPr>
          <w:rFonts w:asciiTheme="majorHAnsi" w:hAnsiTheme="majorHAnsi" w:cs="Arial"/>
          <w:lang w:val="es-ES_tradnl"/>
        </w:rPr>
        <w:t>La articulación debe ser utilizada  para efectivizar las políticas, planes, programas y proyectos desarrollados por los gobiernos locales, regionales y sociedad civil, a través de la generación de redes, consorcios y alianzas, pues ello contribuye a la sinergia y mejor impacto de nuestras intervenciones, y mayor grado de información, eficacia y eficiencia al compartir los recursos disponibles</w:t>
      </w:r>
    </w:p>
    <w:p w:rsidR="00B95E86" w:rsidRPr="00B95E86" w:rsidRDefault="00B95E86" w:rsidP="00B95E86">
      <w:pPr>
        <w:pStyle w:val="Prrafodelista"/>
        <w:numPr>
          <w:ilvl w:val="0"/>
          <w:numId w:val="5"/>
        </w:numPr>
        <w:autoSpaceDE w:val="0"/>
        <w:autoSpaceDN w:val="0"/>
        <w:adjustRightInd w:val="0"/>
        <w:spacing w:after="0" w:line="240" w:lineRule="auto"/>
        <w:ind w:left="714" w:hanging="357"/>
        <w:contextualSpacing w:val="0"/>
        <w:jc w:val="both"/>
        <w:rPr>
          <w:rFonts w:asciiTheme="majorHAnsi" w:hAnsiTheme="majorHAnsi" w:cs="Arial"/>
          <w:lang w:val="es-ES_tradnl"/>
        </w:rPr>
      </w:pPr>
      <w:r w:rsidRPr="00B95E86">
        <w:rPr>
          <w:rFonts w:asciiTheme="majorHAnsi" w:hAnsiTheme="majorHAnsi" w:cs="Arial"/>
          <w:lang w:val="es-ES_tradnl"/>
        </w:rPr>
        <w:t>La articulación del trabajo multisectorial en un territorio contribuye a la coordinación, articulación conjunta de acciones, y eficiencia en la inversión que permite la reducción del riesgo y mejora de la calidad de vida de la población</w:t>
      </w:r>
    </w:p>
    <w:p w:rsidR="00E2279D" w:rsidRPr="00B95E86" w:rsidRDefault="00E2279D" w:rsidP="00B95E86">
      <w:pPr>
        <w:pStyle w:val="Prrafodelista"/>
        <w:spacing w:after="0" w:line="240" w:lineRule="auto"/>
        <w:ind w:left="714"/>
        <w:jc w:val="both"/>
        <w:rPr>
          <w:rFonts w:asciiTheme="majorHAnsi" w:hAnsiTheme="majorHAnsi" w:cs="Arial"/>
        </w:rPr>
      </w:pPr>
    </w:p>
    <w:p w:rsidR="00D72928" w:rsidRPr="00EB6FC8" w:rsidRDefault="00D72928" w:rsidP="00B95E86">
      <w:pPr>
        <w:spacing w:after="0" w:line="240" w:lineRule="auto"/>
        <w:jc w:val="both"/>
        <w:rPr>
          <w:rFonts w:asciiTheme="majorHAnsi" w:hAnsiTheme="majorHAnsi" w:cs="Arial"/>
        </w:rPr>
      </w:pPr>
    </w:p>
    <w:p w:rsidR="00D72928" w:rsidRPr="00EB6FC8" w:rsidRDefault="00D72928" w:rsidP="00B95E86">
      <w:pPr>
        <w:spacing w:after="0" w:line="240" w:lineRule="auto"/>
        <w:jc w:val="both"/>
        <w:rPr>
          <w:rFonts w:asciiTheme="majorHAnsi" w:hAnsiTheme="majorHAnsi" w:cs="Arial"/>
        </w:rPr>
      </w:pPr>
    </w:p>
    <w:p w:rsidR="00D72928" w:rsidRPr="00EB6FC8" w:rsidRDefault="00D72928" w:rsidP="00B95E86">
      <w:pPr>
        <w:spacing w:after="0" w:line="240" w:lineRule="auto"/>
        <w:jc w:val="both"/>
        <w:rPr>
          <w:rFonts w:asciiTheme="majorHAnsi" w:hAnsiTheme="majorHAnsi" w:cs="Arial"/>
        </w:rPr>
      </w:pPr>
    </w:p>
    <w:p w:rsidR="00ED2C9D" w:rsidRDefault="00ED2C9D" w:rsidP="00B95E86">
      <w:pPr>
        <w:spacing w:after="0" w:line="240" w:lineRule="auto"/>
      </w:pPr>
    </w:p>
    <w:p w:rsidR="00ED2C9D" w:rsidRDefault="00ED2C9D" w:rsidP="00B95E86">
      <w:pPr>
        <w:spacing w:after="0" w:line="240" w:lineRule="auto"/>
      </w:pPr>
    </w:p>
    <w:sectPr w:rsidR="00ED2C9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F0B" w:rsidRDefault="003B2F0B" w:rsidP="00605246">
      <w:pPr>
        <w:spacing w:after="0" w:line="240" w:lineRule="auto"/>
      </w:pPr>
      <w:r>
        <w:separator/>
      </w:r>
    </w:p>
  </w:endnote>
  <w:endnote w:type="continuationSeparator" w:id="0">
    <w:p w:rsidR="003B2F0B" w:rsidRDefault="003B2F0B" w:rsidP="00605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45 Light">
    <w:altName w:val="Frutiger LT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yuthaya">
    <w:charset w:val="00"/>
    <w:family w:val="auto"/>
    <w:pitch w:val="variable"/>
    <w:sig w:usb0="A10002FF" w:usb1="5000204A" w:usb2="00000020"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F0B" w:rsidRDefault="003B2F0B" w:rsidP="00605246">
      <w:pPr>
        <w:spacing w:after="0" w:line="240" w:lineRule="auto"/>
      </w:pPr>
      <w:r>
        <w:separator/>
      </w:r>
    </w:p>
  </w:footnote>
  <w:footnote w:type="continuationSeparator" w:id="0">
    <w:p w:rsidR="003B2F0B" w:rsidRDefault="003B2F0B" w:rsidP="00605246">
      <w:pPr>
        <w:spacing w:after="0" w:line="240" w:lineRule="auto"/>
      </w:pPr>
      <w:r>
        <w:continuationSeparator/>
      </w:r>
    </w:p>
  </w:footnote>
  <w:footnote w:id="1">
    <w:p w:rsidR="00E71353" w:rsidRPr="001127F8" w:rsidRDefault="00E71353" w:rsidP="001127F8">
      <w:pPr>
        <w:pStyle w:val="Textonotapie"/>
        <w:spacing w:after="0" w:line="240" w:lineRule="auto"/>
        <w:rPr>
          <w:rFonts w:asciiTheme="minorHAnsi" w:hAnsiTheme="minorHAnsi"/>
          <w:sz w:val="16"/>
          <w:szCs w:val="16"/>
        </w:rPr>
      </w:pPr>
      <w:r w:rsidRPr="001127F8">
        <w:rPr>
          <w:rStyle w:val="Refdenotaalpie"/>
          <w:rFonts w:asciiTheme="minorHAnsi" w:hAnsiTheme="minorHAnsi"/>
          <w:sz w:val="16"/>
          <w:szCs w:val="16"/>
        </w:rPr>
        <w:footnoteRef/>
      </w:r>
      <w:r w:rsidRPr="001127F8">
        <w:rPr>
          <w:rFonts w:asciiTheme="minorHAnsi" w:hAnsiTheme="minorHAnsi"/>
          <w:sz w:val="16"/>
          <w:szCs w:val="16"/>
        </w:rPr>
        <w:t xml:space="preserve"> Decreto Supremo  Nº 034-2014-PCM que aprueba el Plan Nacional de Gestión del Riesgo de Desastres  - PLANAGERD 2014 -2021.</w:t>
      </w:r>
    </w:p>
  </w:footnote>
  <w:footnote w:id="2">
    <w:p w:rsidR="00E71353" w:rsidRPr="001127F8" w:rsidRDefault="00E71353" w:rsidP="00ED2C9D">
      <w:pPr>
        <w:pStyle w:val="Textonotapie"/>
        <w:spacing w:after="0" w:line="240" w:lineRule="auto"/>
        <w:rPr>
          <w:rFonts w:asciiTheme="minorHAnsi" w:hAnsiTheme="minorHAnsi"/>
          <w:sz w:val="16"/>
          <w:szCs w:val="16"/>
        </w:rPr>
      </w:pPr>
      <w:r w:rsidRPr="001127F8">
        <w:rPr>
          <w:rStyle w:val="Refdenotaalpie"/>
          <w:rFonts w:asciiTheme="minorHAnsi" w:hAnsiTheme="minorHAnsi"/>
          <w:sz w:val="16"/>
          <w:szCs w:val="16"/>
        </w:rPr>
        <w:footnoteRef/>
      </w:r>
      <w:r w:rsidRPr="001127F8">
        <w:rPr>
          <w:rFonts w:asciiTheme="minorHAnsi" w:hAnsiTheme="minorHAnsi"/>
          <w:sz w:val="16"/>
          <w:szCs w:val="16"/>
        </w:rPr>
        <w:t xml:space="preserve"> Tumbes, Lambayeque, Cajamarca, La Libertad, San Martín, Ancash, Lima, Apurímac, Ica, Huancavelica y Ayacucho.  </w:t>
      </w:r>
    </w:p>
  </w:footnote>
  <w:footnote w:id="3">
    <w:p w:rsidR="00E71353" w:rsidRPr="001127F8" w:rsidRDefault="00E71353" w:rsidP="00ED2C9D">
      <w:pPr>
        <w:pStyle w:val="Textonotapie"/>
        <w:spacing w:after="0" w:line="240" w:lineRule="auto"/>
        <w:rPr>
          <w:rFonts w:asciiTheme="minorHAnsi" w:hAnsiTheme="minorHAnsi"/>
          <w:sz w:val="16"/>
          <w:szCs w:val="16"/>
        </w:rPr>
      </w:pPr>
      <w:r w:rsidRPr="001127F8">
        <w:rPr>
          <w:rStyle w:val="Refdenotaalpie"/>
          <w:rFonts w:asciiTheme="minorHAnsi" w:hAnsiTheme="minorHAnsi"/>
          <w:sz w:val="16"/>
          <w:szCs w:val="16"/>
        </w:rPr>
        <w:footnoteRef/>
      </w:r>
      <w:r w:rsidRPr="001127F8">
        <w:rPr>
          <w:rFonts w:asciiTheme="minorHAnsi" w:hAnsiTheme="minorHAnsi"/>
          <w:sz w:val="16"/>
          <w:szCs w:val="16"/>
        </w:rPr>
        <w:t xml:space="preserve"> Piura y Cusco.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A2EFB"/>
    <w:multiLevelType w:val="hybridMultilevel"/>
    <w:tmpl w:val="30E07034"/>
    <w:lvl w:ilvl="0" w:tplc="1EF2B182">
      <w:start w:val="1"/>
      <w:numFmt w:val="bullet"/>
      <w:lvlText w:val="•"/>
      <w:lvlJc w:val="left"/>
      <w:pPr>
        <w:tabs>
          <w:tab w:val="num" w:pos="720"/>
        </w:tabs>
        <w:ind w:left="720" w:hanging="360"/>
      </w:pPr>
      <w:rPr>
        <w:rFonts w:ascii="Arial" w:hAnsi="Arial" w:hint="default"/>
      </w:rPr>
    </w:lvl>
    <w:lvl w:ilvl="1" w:tplc="7AB86DFC" w:tentative="1">
      <w:start w:val="1"/>
      <w:numFmt w:val="bullet"/>
      <w:lvlText w:val="•"/>
      <w:lvlJc w:val="left"/>
      <w:pPr>
        <w:tabs>
          <w:tab w:val="num" w:pos="1440"/>
        </w:tabs>
        <w:ind w:left="1440" w:hanging="360"/>
      </w:pPr>
      <w:rPr>
        <w:rFonts w:ascii="Arial" w:hAnsi="Arial" w:hint="default"/>
      </w:rPr>
    </w:lvl>
    <w:lvl w:ilvl="2" w:tplc="C824C414" w:tentative="1">
      <w:start w:val="1"/>
      <w:numFmt w:val="bullet"/>
      <w:lvlText w:val="•"/>
      <w:lvlJc w:val="left"/>
      <w:pPr>
        <w:tabs>
          <w:tab w:val="num" w:pos="2160"/>
        </w:tabs>
        <w:ind w:left="2160" w:hanging="360"/>
      </w:pPr>
      <w:rPr>
        <w:rFonts w:ascii="Arial" w:hAnsi="Arial" w:hint="default"/>
      </w:rPr>
    </w:lvl>
    <w:lvl w:ilvl="3" w:tplc="A884825E" w:tentative="1">
      <w:start w:val="1"/>
      <w:numFmt w:val="bullet"/>
      <w:lvlText w:val="•"/>
      <w:lvlJc w:val="left"/>
      <w:pPr>
        <w:tabs>
          <w:tab w:val="num" w:pos="2880"/>
        </w:tabs>
        <w:ind w:left="2880" w:hanging="360"/>
      </w:pPr>
      <w:rPr>
        <w:rFonts w:ascii="Arial" w:hAnsi="Arial" w:hint="default"/>
      </w:rPr>
    </w:lvl>
    <w:lvl w:ilvl="4" w:tplc="ED8493E4" w:tentative="1">
      <w:start w:val="1"/>
      <w:numFmt w:val="bullet"/>
      <w:lvlText w:val="•"/>
      <w:lvlJc w:val="left"/>
      <w:pPr>
        <w:tabs>
          <w:tab w:val="num" w:pos="3600"/>
        </w:tabs>
        <w:ind w:left="3600" w:hanging="360"/>
      </w:pPr>
      <w:rPr>
        <w:rFonts w:ascii="Arial" w:hAnsi="Arial" w:hint="default"/>
      </w:rPr>
    </w:lvl>
    <w:lvl w:ilvl="5" w:tplc="1C343988" w:tentative="1">
      <w:start w:val="1"/>
      <w:numFmt w:val="bullet"/>
      <w:lvlText w:val="•"/>
      <w:lvlJc w:val="left"/>
      <w:pPr>
        <w:tabs>
          <w:tab w:val="num" w:pos="4320"/>
        </w:tabs>
        <w:ind w:left="4320" w:hanging="360"/>
      </w:pPr>
      <w:rPr>
        <w:rFonts w:ascii="Arial" w:hAnsi="Arial" w:hint="default"/>
      </w:rPr>
    </w:lvl>
    <w:lvl w:ilvl="6" w:tplc="9AB23528" w:tentative="1">
      <w:start w:val="1"/>
      <w:numFmt w:val="bullet"/>
      <w:lvlText w:val="•"/>
      <w:lvlJc w:val="left"/>
      <w:pPr>
        <w:tabs>
          <w:tab w:val="num" w:pos="5040"/>
        </w:tabs>
        <w:ind w:left="5040" w:hanging="360"/>
      </w:pPr>
      <w:rPr>
        <w:rFonts w:ascii="Arial" w:hAnsi="Arial" w:hint="default"/>
      </w:rPr>
    </w:lvl>
    <w:lvl w:ilvl="7" w:tplc="96E08B44" w:tentative="1">
      <w:start w:val="1"/>
      <w:numFmt w:val="bullet"/>
      <w:lvlText w:val="•"/>
      <w:lvlJc w:val="left"/>
      <w:pPr>
        <w:tabs>
          <w:tab w:val="num" w:pos="5760"/>
        </w:tabs>
        <w:ind w:left="5760" w:hanging="360"/>
      </w:pPr>
      <w:rPr>
        <w:rFonts w:ascii="Arial" w:hAnsi="Arial" w:hint="default"/>
      </w:rPr>
    </w:lvl>
    <w:lvl w:ilvl="8" w:tplc="53B838C0" w:tentative="1">
      <w:start w:val="1"/>
      <w:numFmt w:val="bullet"/>
      <w:lvlText w:val="•"/>
      <w:lvlJc w:val="left"/>
      <w:pPr>
        <w:tabs>
          <w:tab w:val="num" w:pos="6480"/>
        </w:tabs>
        <w:ind w:left="6480" w:hanging="360"/>
      </w:pPr>
      <w:rPr>
        <w:rFonts w:ascii="Arial" w:hAnsi="Arial" w:hint="default"/>
      </w:rPr>
    </w:lvl>
  </w:abstractNum>
  <w:abstractNum w:abstractNumId="1">
    <w:nsid w:val="2CE509F5"/>
    <w:multiLevelType w:val="hybridMultilevel"/>
    <w:tmpl w:val="62CA4E0A"/>
    <w:lvl w:ilvl="0" w:tplc="2E943E38">
      <w:start w:val="1"/>
      <w:numFmt w:val="bullet"/>
      <w:lvlText w:val="•"/>
      <w:lvlJc w:val="left"/>
      <w:pPr>
        <w:tabs>
          <w:tab w:val="num" w:pos="720"/>
        </w:tabs>
        <w:ind w:left="720" w:hanging="360"/>
      </w:pPr>
      <w:rPr>
        <w:rFonts w:ascii="Arial" w:hAnsi="Arial" w:hint="default"/>
      </w:rPr>
    </w:lvl>
    <w:lvl w:ilvl="1" w:tplc="754AF61A" w:tentative="1">
      <w:start w:val="1"/>
      <w:numFmt w:val="bullet"/>
      <w:lvlText w:val="•"/>
      <w:lvlJc w:val="left"/>
      <w:pPr>
        <w:tabs>
          <w:tab w:val="num" w:pos="1440"/>
        </w:tabs>
        <w:ind w:left="1440" w:hanging="360"/>
      </w:pPr>
      <w:rPr>
        <w:rFonts w:ascii="Arial" w:hAnsi="Arial" w:hint="default"/>
      </w:rPr>
    </w:lvl>
    <w:lvl w:ilvl="2" w:tplc="E50826B2" w:tentative="1">
      <w:start w:val="1"/>
      <w:numFmt w:val="bullet"/>
      <w:lvlText w:val="•"/>
      <w:lvlJc w:val="left"/>
      <w:pPr>
        <w:tabs>
          <w:tab w:val="num" w:pos="2160"/>
        </w:tabs>
        <w:ind w:left="2160" w:hanging="360"/>
      </w:pPr>
      <w:rPr>
        <w:rFonts w:ascii="Arial" w:hAnsi="Arial" w:hint="default"/>
      </w:rPr>
    </w:lvl>
    <w:lvl w:ilvl="3" w:tplc="FA007A8E" w:tentative="1">
      <w:start w:val="1"/>
      <w:numFmt w:val="bullet"/>
      <w:lvlText w:val="•"/>
      <w:lvlJc w:val="left"/>
      <w:pPr>
        <w:tabs>
          <w:tab w:val="num" w:pos="2880"/>
        </w:tabs>
        <w:ind w:left="2880" w:hanging="360"/>
      </w:pPr>
      <w:rPr>
        <w:rFonts w:ascii="Arial" w:hAnsi="Arial" w:hint="default"/>
      </w:rPr>
    </w:lvl>
    <w:lvl w:ilvl="4" w:tplc="340891FC" w:tentative="1">
      <w:start w:val="1"/>
      <w:numFmt w:val="bullet"/>
      <w:lvlText w:val="•"/>
      <w:lvlJc w:val="left"/>
      <w:pPr>
        <w:tabs>
          <w:tab w:val="num" w:pos="3600"/>
        </w:tabs>
        <w:ind w:left="3600" w:hanging="360"/>
      </w:pPr>
      <w:rPr>
        <w:rFonts w:ascii="Arial" w:hAnsi="Arial" w:hint="default"/>
      </w:rPr>
    </w:lvl>
    <w:lvl w:ilvl="5" w:tplc="E9F28B48" w:tentative="1">
      <w:start w:val="1"/>
      <w:numFmt w:val="bullet"/>
      <w:lvlText w:val="•"/>
      <w:lvlJc w:val="left"/>
      <w:pPr>
        <w:tabs>
          <w:tab w:val="num" w:pos="4320"/>
        </w:tabs>
        <w:ind w:left="4320" w:hanging="360"/>
      </w:pPr>
      <w:rPr>
        <w:rFonts w:ascii="Arial" w:hAnsi="Arial" w:hint="default"/>
      </w:rPr>
    </w:lvl>
    <w:lvl w:ilvl="6" w:tplc="B53C62A2" w:tentative="1">
      <w:start w:val="1"/>
      <w:numFmt w:val="bullet"/>
      <w:lvlText w:val="•"/>
      <w:lvlJc w:val="left"/>
      <w:pPr>
        <w:tabs>
          <w:tab w:val="num" w:pos="5040"/>
        </w:tabs>
        <w:ind w:left="5040" w:hanging="360"/>
      </w:pPr>
      <w:rPr>
        <w:rFonts w:ascii="Arial" w:hAnsi="Arial" w:hint="default"/>
      </w:rPr>
    </w:lvl>
    <w:lvl w:ilvl="7" w:tplc="764818CE" w:tentative="1">
      <w:start w:val="1"/>
      <w:numFmt w:val="bullet"/>
      <w:lvlText w:val="•"/>
      <w:lvlJc w:val="left"/>
      <w:pPr>
        <w:tabs>
          <w:tab w:val="num" w:pos="5760"/>
        </w:tabs>
        <w:ind w:left="5760" w:hanging="360"/>
      </w:pPr>
      <w:rPr>
        <w:rFonts w:ascii="Arial" w:hAnsi="Arial" w:hint="default"/>
      </w:rPr>
    </w:lvl>
    <w:lvl w:ilvl="8" w:tplc="EF869896" w:tentative="1">
      <w:start w:val="1"/>
      <w:numFmt w:val="bullet"/>
      <w:lvlText w:val="•"/>
      <w:lvlJc w:val="left"/>
      <w:pPr>
        <w:tabs>
          <w:tab w:val="num" w:pos="6480"/>
        </w:tabs>
        <w:ind w:left="6480" w:hanging="360"/>
      </w:pPr>
      <w:rPr>
        <w:rFonts w:ascii="Arial" w:hAnsi="Arial" w:hint="default"/>
      </w:rPr>
    </w:lvl>
  </w:abstractNum>
  <w:abstractNum w:abstractNumId="2">
    <w:nsid w:val="2CF872B8"/>
    <w:multiLevelType w:val="hybridMultilevel"/>
    <w:tmpl w:val="75CC7D7C"/>
    <w:lvl w:ilvl="0" w:tplc="6762900A">
      <w:start w:val="1"/>
      <w:numFmt w:val="bullet"/>
      <w:lvlText w:val="•"/>
      <w:lvlJc w:val="left"/>
      <w:pPr>
        <w:tabs>
          <w:tab w:val="num" w:pos="720"/>
        </w:tabs>
        <w:ind w:left="720" w:hanging="360"/>
      </w:pPr>
      <w:rPr>
        <w:rFonts w:ascii="Arial" w:hAnsi="Arial" w:hint="default"/>
      </w:rPr>
    </w:lvl>
    <w:lvl w:ilvl="1" w:tplc="3E2EC342" w:tentative="1">
      <w:start w:val="1"/>
      <w:numFmt w:val="bullet"/>
      <w:lvlText w:val="•"/>
      <w:lvlJc w:val="left"/>
      <w:pPr>
        <w:tabs>
          <w:tab w:val="num" w:pos="1440"/>
        </w:tabs>
        <w:ind w:left="1440" w:hanging="360"/>
      </w:pPr>
      <w:rPr>
        <w:rFonts w:ascii="Arial" w:hAnsi="Arial" w:hint="default"/>
      </w:rPr>
    </w:lvl>
    <w:lvl w:ilvl="2" w:tplc="35E03A7C" w:tentative="1">
      <w:start w:val="1"/>
      <w:numFmt w:val="bullet"/>
      <w:lvlText w:val="•"/>
      <w:lvlJc w:val="left"/>
      <w:pPr>
        <w:tabs>
          <w:tab w:val="num" w:pos="2160"/>
        </w:tabs>
        <w:ind w:left="2160" w:hanging="360"/>
      </w:pPr>
      <w:rPr>
        <w:rFonts w:ascii="Arial" w:hAnsi="Arial" w:hint="default"/>
      </w:rPr>
    </w:lvl>
    <w:lvl w:ilvl="3" w:tplc="035C5C1E" w:tentative="1">
      <w:start w:val="1"/>
      <w:numFmt w:val="bullet"/>
      <w:lvlText w:val="•"/>
      <w:lvlJc w:val="left"/>
      <w:pPr>
        <w:tabs>
          <w:tab w:val="num" w:pos="2880"/>
        </w:tabs>
        <w:ind w:left="2880" w:hanging="360"/>
      </w:pPr>
      <w:rPr>
        <w:rFonts w:ascii="Arial" w:hAnsi="Arial" w:hint="default"/>
      </w:rPr>
    </w:lvl>
    <w:lvl w:ilvl="4" w:tplc="73CA6F4C" w:tentative="1">
      <w:start w:val="1"/>
      <w:numFmt w:val="bullet"/>
      <w:lvlText w:val="•"/>
      <w:lvlJc w:val="left"/>
      <w:pPr>
        <w:tabs>
          <w:tab w:val="num" w:pos="3600"/>
        </w:tabs>
        <w:ind w:left="3600" w:hanging="360"/>
      </w:pPr>
      <w:rPr>
        <w:rFonts w:ascii="Arial" w:hAnsi="Arial" w:hint="default"/>
      </w:rPr>
    </w:lvl>
    <w:lvl w:ilvl="5" w:tplc="35602A12" w:tentative="1">
      <w:start w:val="1"/>
      <w:numFmt w:val="bullet"/>
      <w:lvlText w:val="•"/>
      <w:lvlJc w:val="left"/>
      <w:pPr>
        <w:tabs>
          <w:tab w:val="num" w:pos="4320"/>
        </w:tabs>
        <w:ind w:left="4320" w:hanging="360"/>
      </w:pPr>
      <w:rPr>
        <w:rFonts w:ascii="Arial" w:hAnsi="Arial" w:hint="default"/>
      </w:rPr>
    </w:lvl>
    <w:lvl w:ilvl="6" w:tplc="6A34EEB0" w:tentative="1">
      <w:start w:val="1"/>
      <w:numFmt w:val="bullet"/>
      <w:lvlText w:val="•"/>
      <w:lvlJc w:val="left"/>
      <w:pPr>
        <w:tabs>
          <w:tab w:val="num" w:pos="5040"/>
        </w:tabs>
        <w:ind w:left="5040" w:hanging="360"/>
      </w:pPr>
      <w:rPr>
        <w:rFonts w:ascii="Arial" w:hAnsi="Arial" w:hint="default"/>
      </w:rPr>
    </w:lvl>
    <w:lvl w:ilvl="7" w:tplc="91B2C088" w:tentative="1">
      <w:start w:val="1"/>
      <w:numFmt w:val="bullet"/>
      <w:lvlText w:val="•"/>
      <w:lvlJc w:val="left"/>
      <w:pPr>
        <w:tabs>
          <w:tab w:val="num" w:pos="5760"/>
        </w:tabs>
        <w:ind w:left="5760" w:hanging="360"/>
      </w:pPr>
      <w:rPr>
        <w:rFonts w:ascii="Arial" w:hAnsi="Arial" w:hint="default"/>
      </w:rPr>
    </w:lvl>
    <w:lvl w:ilvl="8" w:tplc="B2A87880" w:tentative="1">
      <w:start w:val="1"/>
      <w:numFmt w:val="bullet"/>
      <w:lvlText w:val="•"/>
      <w:lvlJc w:val="left"/>
      <w:pPr>
        <w:tabs>
          <w:tab w:val="num" w:pos="6480"/>
        </w:tabs>
        <w:ind w:left="6480" w:hanging="360"/>
      </w:pPr>
      <w:rPr>
        <w:rFonts w:ascii="Arial" w:hAnsi="Arial" w:hint="default"/>
      </w:rPr>
    </w:lvl>
  </w:abstractNum>
  <w:abstractNum w:abstractNumId="3">
    <w:nsid w:val="34456B94"/>
    <w:multiLevelType w:val="hybridMultilevel"/>
    <w:tmpl w:val="C64CC702"/>
    <w:lvl w:ilvl="0" w:tplc="27B6D376">
      <w:start w:val="1"/>
      <w:numFmt w:val="bullet"/>
      <w:lvlText w:val="•"/>
      <w:lvlJc w:val="left"/>
      <w:pPr>
        <w:tabs>
          <w:tab w:val="num" w:pos="720"/>
        </w:tabs>
        <w:ind w:left="720" w:hanging="360"/>
      </w:pPr>
      <w:rPr>
        <w:rFonts w:ascii="Arial" w:hAnsi="Arial" w:hint="default"/>
      </w:rPr>
    </w:lvl>
    <w:lvl w:ilvl="1" w:tplc="0BD06E20" w:tentative="1">
      <w:start w:val="1"/>
      <w:numFmt w:val="bullet"/>
      <w:lvlText w:val="•"/>
      <w:lvlJc w:val="left"/>
      <w:pPr>
        <w:tabs>
          <w:tab w:val="num" w:pos="1440"/>
        </w:tabs>
        <w:ind w:left="1440" w:hanging="360"/>
      </w:pPr>
      <w:rPr>
        <w:rFonts w:ascii="Arial" w:hAnsi="Arial" w:hint="default"/>
      </w:rPr>
    </w:lvl>
    <w:lvl w:ilvl="2" w:tplc="1DE89F4E" w:tentative="1">
      <w:start w:val="1"/>
      <w:numFmt w:val="bullet"/>
      <w:lvlText w:val="•"/>
      <w:lvlJc w:val="left"/>
      <w:pPr>
        <w:tabs>
          <w:tab w:val="num" w:pos="2160"/>
        </w:tabs>
        <w:ind w:left="2160" w:hanging="360"/>
      </w:pPr>
      <w:rPr>
        <w:rFonts w:ascii="Arial" w:hAnsi="Arial" w:hint="default"/>
      </w:rPr>
    </w:lvl>
    <w:lvl w:ilvl="3" w:tplc="033EA202" w:tentative="1">
      <w:start w:val="1"/>
      <w:numFmt w:val="bullet"/>
      <w:lvlText w:val="•"/>
      <w:lvlJc w:val="left"/>
      <w:pPr>
        <w:tabs>
          <w:tab w:val="num" w:pos="2880"/>
        </w:tabs>
        <w:ind w:left="2880" w:hanging="360"/>
      </w:pPr>
      <w:rPr>
        <w:rFonts w:ascii="Arial" w:hAnsi="Arial" w:hint="default"/>
      </w:rPr>
    </w:lvl>
    <w:lvl w:ilvl="4" w:tplc="A4CA676A" w:tentative="1">
      <w:start w:val="1"/>
      <w:numFmt w:val="bullet"/>
      <w:lvlText w:val="•"/>
      <w:lvlJc w:val="left"/>
      <w:pPr>
        <w:tabs>
          <w:tab w:val="num" w:pos="3600"/>
        </w:tabs>
        <w:ind w:left="3600" w:hanging="360"/>
      </w:pPr>
      <w:rPr>
        <w:rFonts w:ascii="Arial" w:hAnsi="Arial" w:hint="default"/>
      </w:rPr>
    </w:lvl>
    <w:lvl w:ilvl="5" w:tplc="DCBA5A56" w:tentative="1">
      <w:start w:val="1"/>
      <w:numFmt w:val="bullet"/>
      <w:lvlText w:val="•"/>
      <w:lvlJc w:val="left"/>
      <w:pPr>
        <w:tabs>
          <w:tab w:val="num" w:pos="4320"/>
        </w:tabs>
        <w:ind w:left="4320" w:hanging="360"/>
      </w:pPr>
      <w:rPr>
        <w:rFonts w:ascii="Arial" w:hAnsi="Arial" w:hint="default"/>
      </w:rPr>
    </w:lvl>
    <w:lvl w:ilvl="6" w:tplc="136EE940" w:tentative="1">
      <w:start w:val="1"/>
      <w:numFmt w:val="bullet"/>
      <w:lvlText w:val="•"/>
      <w:lvlJc w:val="left"/>
      <w:pPr>
        <w:tabs>
          <w:tab w:val="num" w:pos="5040"/>
        </w:tabs>
        <w:ind w:left="5040" w:hanging="360"/>
      </w:pPr>
      <w:rPr>
        <w:rFonts w:ascii="Arial" w:hAnsi="Arial" w:hint="default"/>
      </w:rPr>
    </w:lvl>
    <w:lvl w:ilvl="7" w:tplc="E9447ACC" w:tentative="1">
      <w:start w:val="1"/>
      <w:numFmt w:val="bullet"/>
      <w:lvlText w:val="•"/>
      <w:lvlJc w:val="left"/>
      <w:pPr>
        <w:tabs>
          <w:tab w:val="num" w:pos="5760"/>
        </w:tabs>
        <w:ind w:left="5760" w:hanging="360"/>
      </w:pPr>
      <w:rPr>
        <w:rFonts w:ascii="Arial" w:hAnsi="Arial" w:hint="default"/>
      </w:rPr>
    </w:lvl>
    <w:lvl w:ilvl="8" w:tplc="66482FBC" w:tentative="1">
      <w:start w:val="1"/>
      <w:numFmt w:val="bullet"/>
      <w:lvlText w:val="•"/>
      <w:lvlJc w:val="left"/>
      <w:pPr>
        <w:tabs>
          <w:tab w:val="num" w:pos="6480"/>
        </w:tabs>
        <w:ind w:left="6480" w:hanging="360"/>
      </w:pPr>
      <w:rPr>
        <w:rFonts w:ascii="Arial" w:hAnsi="Arial" w:hint="default"/>
      </w:rPr>
    </w:lvl>
  </w:abstractNum>
  <w:abstractNum w:abstractNumId="4">
    <w:nsid w:val="5F06406A"/>
    <w:multiLevelType w:val="hybridMultilevel"/>
    <w:tmpl w:val="E4369F12"/>
    <w:lvl w:ilvl="0" w:tplc="C2142348">
      <w:numFmt w:val="bullet"/>
      <w:lvlText w:val=""/>
      <w:lvlJc w:val="left"/>
      <w:pPr>
        <w:ind w:left="720" w:hanging="360"/>
      </w:pPr>
      <w:rPr>
        <w:rFonts w:ascii="Symbol" w:eastAsiaTheme="minorHAnsi" w:hAnsi="Symbol" w:cs="Arial" w:hint="default"/>
        <w:u w:val="singl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E567BBE"/>
    <w:multiLevelType w:val="hybridMultilevel"/>
    <w:tmpl w:val="6F5C93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34D"/>
    <w:rsid w:val="0003396F"/>
    <w:rsid w:val="00080257"/>
    <w:rsid w:val="001127F8"/>
    <w:rsid w:val="00257950"/>
    <w:rsid w:val="0029796D"/>
    <w:rsid w:val="003B2F0B"/>
    <w:rsid w:val="0045592B"/>
    <w:rsid w:val="004D3817"/>
    <w:rsid w:val="00605246"/>
    <w:rsid w:val="008D0155"/>
    <w:rsid w:val="00947BBC"/>
    <w:rsid w:val="009760A8"/>
    <w:rsid w:val="00A206AB"/>
    <w:rsid w:val="00B92965"/>
    <w:rsid w:val="00B95E86"/>
    <w:rsid w:val="00C03429"/>
    <w:rsid w:val="00C4665A"/>
    <w:rsid w:val="00CD634D"/>
    <w:rsid w:val="00D165AE"/>
    <w:rsid w:val="00D72928"/>
    <w:rsid w:val="00DE4BD4"/>
    <w:rsid w:val="00E17A6E"/>
    <w:rsid w:val="00E2279D"/>
    <w:rsid w:val="00E30DC2"/>
    <w:rsid w:val="00E71353"/>
    <w:rsid w:val="00EB6FC8"/>
    <w:rsid w:val="00EC2622"/>
    <w:rsid w:val="00ED2C9D"/>
    <w:rsid w:val="00EE737C"/>
    <w:rsid w:val="00FE21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n,footnote text,Footnote Text Char Char,ft,Char,Geneva 9,Font: Geneva 9,Boston 10,f, Car"/>
    <w:basedOn w:val="Normal"/>
    <w:link w:val="TextonotapieCar"/>
    <w:uiPriority w:val="99"/>
    <w:rsid w:val="00605246"/>
    <w:rPr>
      <w:rFonts w:ascii="Calibri" w:eastAsia="Calibri" w:hAnsi="Calibri" w:cs="Times New Roman"/>
      <w:sz w:val="20"/>
      <w:szCs w:val="20"/>
      <w:lang w:val="es-ES" w:eastAsia="es-ES"/>
    </w:rPr>
  </w:style>
  <w:style w:type="character" w:customStyle="1" w:styleId="TextonotapieCar">
    <w:name w:val="Texto nota pie Car"/>
    <w:aliases w:val="fn Car,footnote text Car,Footnote Text Char Char Car,ft Car,Char Car,Geneva 9 Car,Font: Geneva 9 Car,Boston 10 Car,f Car, Car Car"/>
    <w:basedOn w:val="Fuentedeprrafopredeter"/>
    <w:link w:val="Textonotapie"/>
    <w:uiPriority w:val="99"/>
    <w:rsid w:val="00605246"/>
    <w:rPr>
      <w:rFonts w:ascii="Calibri" w:eastAsia="Calibri" w:hAnsi="Calibri" w:cs="Times New Roman"/>
      <w:sz w:val="20"/>
      <w:szCs w:val="20"/>
      <w:lang w:val="es-ES" w:eastAsia="es-ES"/>
    </w:rPr>
  </w:style>
  <w:style w:type="character" w:styleId="Refdenotaalpie">
    <w:name w:val="footnote reference"/>
    <w:aliases w:val="BVI fnr Car Car Car Car, BVI fnr Car Car Car Car,ftref Car Car Car Car Car Car Car Car Car, BVI fnr Char Car Car Car Car Car Car Car Car Car Car,BVI fnr Char Car Car Car Car Car Car Car Car Car Car,BVI fnr Car Car1"/>
    <w:basedOn w:val="Fuentedeprrafopredeter"/>
    <w:link w:val="BVIfnrCarCarCar"/>
    <w:uiPriority w:val="99"/>
    <w:rsid w:val="00605246"/>
    <w:rPr>
      <w:vertAlign w:val="superscript"/>
    </w:rPr>
  </w:style>
  <w:style w:type="paragraph" w:customStyle="1" w:styleId="BVIfnrCarCarCar">
    <w:name w:val="BVI fnr Car Car Car"/>
    <w:aliases w:val=" BVI fnr Car Car Car,ftref Car Car Car Car Car Car Car Car, BVI fnr Char Car Car Car Car Car Car Car Car Car,BVI fnr Char Car Car Car Car Car Car Car Car Car,BVI fnr"/>
    <w:basedOn w:val="Normal"/>
    <w:link w:val="Refdenotaalpie"/>
    <w:uiPriority w:val="99"/>
    <w:rsid w:val="00605246"/>
    <w:pPr>
      <w:spacing w:after="160" w:line="240" w:lineRule="exact"/>
    </w:pPr>
    <w:rPr>
      <w:vertAlign w:val="superscript"/>
    </w:rPr>
  </w:style>
  <w:style w:type="paragraph" w:customStyle="1" w:styleId="Default">
    <w:name w:val="Default"/>
    <w:rsid w:val="00605246"/>
    <w:pPr>
      <w:autoSpaceDE w:val="0"/>
      <w:autoSpaceDN w:val="0"/>
      <w:adjustRightInd w:val="0"/>
      <w:spacing w:after="0" w:line="240" w:lineRule="auto"/>
    </w:pPr>
    <w:rPr>
      <w:rFonts w:ascii="Arial" w:hAnsi="Arial" w:cs="Arial"/>
      <w:color w:val="000000"/>
      <w:sz w:val="24"/>
      <w:szCs w:val="24"/>
      <w:lang w:val="es-PE"/>
    </w:rPr>
  </w:style>
  <w:style w:type="paragraph" w:customStyle="1" w:styleId="Pa1">
    <w:name w:val="Pa1"/>
    <w:basedOn w:val="Default"/>
    <w:next w:val="Default"/>
    <w:uiPriority w:val="99"/>
    <w:rsid w:val="00DE4BD4"/>
    <w:pPr>
      <w:spacing w:line="221" w:lineRule="atLeast"/>
    </w:pPr>
    <w:rPr>
      <w:rFonts w:ascii="Frutiger LT 45 Light" w:hAnsi="Frutiger LT 45 Light" w:cstheme="minorBidi"/>
      <w:color w:val="auto"/>
      <w:lang w:val="es-MX"/>
    </w:rPr>
  </w:style>
  <w:style w:type="character" w:customStyle="1" w:styleId="A3">
    <w:name w:val="A3"/>
    <w:uiPriority w:val="99"/>
    <w:rsid w:val="00DE4BD4"/>
    <w:rPr>
      <w:rFonts w:cs="Frutiger LT 45 Light"/>
      <w:b/>
      <w:bCs/>
      <w:color w:val="000000"/>
    </w:rPr>
  </w:style>
  <w:style w:type="paragraph" w:customStyle="1" w:styleId="Pa0">
    <w:name w:val="Pa0"/>
    <w:basedOn w:val="Default"/>
    <w:next w:val="Default"/>
    <w:uiPriority w:val="99"/>
    <w:rsid w:val="00DE4BD4"/>
    <w:pPr>
      <w:spacing w:line="201" w:lineRule="atLeast"/>
    </w:pPr>
    <w:rPr>
      <w:rFonts w:ascii="Frutiger LT 45 Light" w:hAnsi="Frutiger LT 45 Light" w:cstheme="minorBidi"/>
      <w:color w:val="auto"/>
      <w:lang w:val="es-MX"/>
    </w:rPr>
  </w:style>
  <w:style w:type="paragraph" w:styleId="Textodeglobo">
    <w:name w:val="Balloon Text"/>
    <w:basedOn w:val="Normal"/>
    <w:link w:val="TextodegloboCar"/>
    <w:uiPriority w:val="99"/>
    <w:semiHidden/>
    <w:unhideWhenUsed/>
    <w:rsid w:val="004D38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3817"/>
    <w:rPr>
      <w:rFonts w:ascii="Tahoma" w:hAnsi="Tahoma" w:cs="Tahoma"/>
      <w:sz w:val="16"/>
      <w:szCs w:val="16"/>
    </w:rPr>
  </w:style>
  <w:style w:type="paragraph" w:styleId="NormalWeb">
    <w:name w:val="Normal (Web)"/>
    <w:basedOn w:val="Normal"/>
    <w:uiPriority w:val="99"/>
    <w:semiHidden/>
    <w:unhideWhenUsed/>
    <w:rsid w:val="0008025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link w:val="PrrafodelistaCar"/>
    <w:uiPriority w:val="34"/>
    <w:qFormat/>
    <w:rsid w:val="00E2279D"/>
    <w:pPr>
      <w:ind w:left="720"/>
      <w:contextualSpacing/>
    </w:pPr>
  </w:style>
  <w:style w:type="character" w:customStyle="1" w:styleId="PrrafodelistaCar">
    <w:name w:val="Párrafo de lista Car"/>
    <w:basedOn w:val="Fuentedeprrafopredeter"/>
    <w:link w:val="Prrafodelista"/>
    <w:uiPriority w:val="34"/>
    <w:rsid w:val="00B95E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n,footnote text,Footnote Text Char Char,ft,Char,Geneva 9,Font: Geneva 9,Boston 10,f, Car"/>
    <w:basedOn w:val="Normal"/>
    <w:link w:val="TextonotapieCar"/>
    <w:uiPriority w:val="99"/>
    <w:rsid w:val="00605246"/>
    <w:rPr>
      <w:rFonts w:ascii="Calibri" w:eastAsia="Calibri" w:hAnsi="Calibri" w:cs="Times New Roman"/>
      <w:sz w:val="20"/>
      <w:szCs w:val="20"/>
      <w:lang w:val="es-ES" w:eastAsia="es-ES"/>
    </w:rPr>
  </w:style>
  <w:style w:type="character" w:customStyle="1" w:styleId="TextonotapieCar">
    <w:name w:val="Texto nota pie Car"/>
    <w:aliases w:val="fn Car,footnote text Car,Footnote Text Char Char Car,ft Car,Char Car,Geneva 9 Car,Font: Geneva 9 Car,Boston 10 Car,f Car, Car Car"/>
    <w:basedOn w:val="Fuentedeprrafopredeter"/>
    <w:link w:val="Textonotapie"/>
    <w:uiPriority w:val="99"/>
    <w:rsid w:val="00605246"/>
    <w:rPr>
      <w:rFonts w:ascii="Calibri" w:eastAsia="Calibri" w:hAnsi="Calibri" w:cs="Times New Roman"/>
      <w:sz w:val="20"/>
      <w:szCs w:val="20"/>
      <w:lang w:val="es-ES" w:eastAsia="es-ES"/>
    </w:rPr>
  </w:style>
  <w:style w:type="character" w:styleId="Refdenotaalpie">
    <w:name w:val="footnote reference"/>
    <w:aliases w:val="BVI fnr Car Car Car Car, BVI fnr Car Car Car Car,ftref Car Car Car Car Car Car Car Car Car, BVI fnr Char Car Car Car Car Car Car Car Car Car Car,BVI fnr Char Car Car Car Car Car Car Car Car Car Car,BVI fnr Car Car1"/>
    <w:basedOn w:val="Fuentedeprrafopredeter"/>
    <w:link w:val="BVIfnrCarCarCar"/>
    <w:uiPriority w:val="99"/>
    <w:rsid w:val="00605246"/>
    <w:rPr>
      <w:vertAlign w:val="superscript"/>
    </w:rPr>
  </w:style>
  <w:style w:type="paragraph" w:customStyle="1" w:styleId="BVIfnrCarCarCar">
    <w:name w:val="BVI fnr Car Car Car"/>
    <w:aliases w:val=" BVI fnr Car Car Car,ftref Car Car Car Car Car Car Car Car, BVI fnr Char Car Car Car Car Car Car Car Car Car,BVI fnr Char Car Car Car Car Car Car Car Car Car,BVI fnr"/>
    <w:basedOn w:val="Normal"/>
    <w:link w:val="Refdenotaalpie"/>
    <w:uiPriority w:val="99"/>
    <w:rsid w:val="00605246"/>
    <w:pPr>
      <w:spacing w:after="160" w:line="240" w:lineRule="exact"/>
    </w:pPr>
    <w:rPr>
      <w:vertAlign w:val="superscript"/>
    </w:rPr>
  </w:style>
  <w:style w:type="paragraph" w:customStyle="1" w:styleId="Default">
    <w:name w:val="Default"/>
    <w:rsid w:val="00605246"/>
    <w:pPr>
      <w:autoSpaceDE w:val="0"/>
      <w:autoSpaceDN w:val="0"/>
      <w:adjustRightInd w:val="0"/>
      <w:spacing w:after="0" w:line="240" w:lineRule="auto"/>
    </w:pPr>
    <w:rPr>
      <w:rFonts w:ascii="Arial" w:hAnsi="Arial" w:cs="Arial"/>
      <w:color w:val="000000"/>
      <w:sz w:val="24"/>
      <w:szCs w:val="24"/>
      <w:lang w:val="es-PE"/>
    </w:rPr>
  </w:style>
  <w:style w:type="paragraph" w:customStyle="1" w:styleId="Pa1">
    <w:name w:val="Pa1"/>
    <w:basedOn w:val="Default"/>
    <w:next w:val="Default"/>
    <w:uiPriority w:val="99"/>
    <w:rsid w:val="00DE4BD4"/>
    <w:pPr>
      <w:spacing w:line="221" w:lineRule="atLeast"/>
    </w:pPr>
    <w:rPr>
      <w:rFonts w:ascii="Frutiger LT 45 Light" w:hAnsi="Frutiger LT 45 Light" w:cstheme="minorBidi"/>
      <w:color w:val="auto"/>
      <w:lang w:val="es-MX"/>
    </w:rPr>
  </w:style>
  <w:style w:type="character" w:customStyle="1" w:styleId="A3">
    <w:name w:val="A3"/>
    <w:uiPriority w:val="99"/>
    <w:rsid w:val="00DE4BD4"/>
    <w:rPr>
      <w:rFonts w:cs="Frutiger LT 45 Light"/>
      <w:b/>
      <w:bCs/>
      <w:color w:val="000000"/>
    </w:rPr>
  </w:style>
  <w:style w:type="paragraph" w:customStyle="1" w:styleId="Pa0">
    <w:name w:val="Pa0"/>
    <w:basedOn w:val="Default"/>
    <w:next w:val="Default"/>
    <w:uiPriority w:val="99"/>
    <w:rsid w:val="00DE4BD4"/>
    <w:pPr>
      <w:spacing w:line="201" w:lineRule="atLeast"/>
    </w:pPr>
    <w:rPr>
      <w:rFonts w:ascii="Frutiger LT 45 Light" w:hAnsi="Frutiger LT 45 Light" w:cstheme="minorBidi"/>
      <w:color w:val="auto"/>
      <w:lang w:val="es-MX"/>
    </w:rPr>
  </w:style>
  <w:style w:type="paragraph" w:styleId="Textodeglobo">
    <w:name w:val="Balloon Text"/>
    <w:basedOn w:val="Normal"/>
    <w:link w:val="TextodegloboCar"/>
    <w:uiPriority w:val="99"/>
    <w:semiHidden/>
    <w:unhideWhenUsed/>
    <w:rsid w:val="004D38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3817"/>
    <w:rPr>
      <w:rFonts w:ascii="Tahoma" w:hAnsi="Tahoma" w:cs="Tahoma"/>
      <w:sz w:val="16"/>
      <w:szCs w:val="16"/>
    </w:rPr>
  </w:style>
  <w:style w:type="paragraph" w:styleId="NormalWeb">
    <w:name w:val="Normal (Web)"/>
    <w:basedOn w:val="Normal"/>
    <w:uiPriority w:val="99"/>
    <w:semiHidden/>
    <w:unhideWhenUsed/>
    <w:rsid w:val="0008025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link w:val="PrrafodelistaCar"/>
    <w:uiPriority w:val="34"/>
    <w:qFormat/>
    <w:rsid w:val="00E2279D"/>
    <w:pPr>
      <w:ind w:left="720"/>
      <w:contextualSpacing/>
    </w:pPr>
  </w:style>
  <w:style w:type="character" w:customStyle="1" w:styleId="PrrafodelistaCar">
    <w:name w:val="Párrafo de lista Car"/>
    <w:basedOn w:val="Fuentedeprrafopredeter"/>
    <w:link w:val="Prrafodelista"/>
    <w:uiPriority w:val="34"/>
    <w:rsid w:val="00B95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072233">
      <w:bodyDiv w:val="1"/>
      <w:marLeft w:val="0"/>
      <w:marRight w:val="0"/>
      <w:marTop w:val="0"/>
      <w:marBottom w:val="0"/>
      <w:divBdr>
        <w:top w:val="none" w:sz="0" w:space="0" w:color="auto"/>
        <w:left w:val="none" w:sz="0" w:space="0" w:color="auto"/>
        <w:bottom w:val="none" w:sz="0" w:space="0" w:color="auto"/>
        <w:right w:val="none" w:sz="0" w:space="0" w:color="auto"/>
      </w:divBdr>
    </w:div>
    <w:div w:id="841508050">
      <w:bodyDiv w:val="1"/>
      <w:marLeft w:val="0"/>
      <w:marRight w:val="0"/>
      <w:marTop w:val="0"/>
      <w:marBottom w:val="0"/>
      <w:divBdr>
        <w:top w:val="none" w:sz="0" w:space="0" w:color="auto"/>
        <w:left w:val="none" w:sz="0" w:space="0" w:color="auto"/>
        <w:bottom w:val="none" w:sz="0" w:space="0" w:color="auto"/>
        <w:right w:val="none" w:sz="0" w:space="0" w:color="auto"/>
      </w:divBdr>
    </w:div>
    <w:div w:id="932518372">
      <w:bodyDiv w:val="1"/>
      <w:marLeft w:val="0"/>
      <w:marRight w:val="0"/>
      <w:marTop w:val="0"/>
      <w:marBottom w:val="0"/>
      <w:divBdr>
        <w:top w:val="none" w:sz="0" w:space="0" w:color="auto"/>
        <w:left w:val="none" w:sz="0" w:space="0" w:color="auto"/>
        <w:bottom w:val="none" w:sz="0" w:space="0" w:color="auto"/>
        <w:right w:val="none" w:sz="0" w:space="0" w:color="auto"/>
      </w:divBdr>
    </w:div>
    <w:div w:id="1120032153">
      <w:bodyDiv w:val="1"/>
      <w:marLeft w:val="0"/>
      <w:marRight w:val="0"/>
      <w:marTop w:val="0"/>
      <w:marBottom w:val="0"/>
      <w:divBdr>
        <w:top w:val="none" w:sz="0" w:space="0" w:color="auto"/>
        <w:left w:val="none" w:sz="0" w:space="0" w:color="auto"/>
        <w:bottom w:val="none" w:sz="0" w:space="0" w:color="auto"/>
        <w:right w:val="none" w:sz="0" w:space="0" w:color="auto"/>
      </w:divBdr>
    </w:div>
    <w:div w:id="1127624761">
      <w:bodyDiv w:val="1"/>
      <w:marLeft w:val="0"/>
      <w:marRight w:val="0"/>
      <w:marTop w:val="0"/>
      <w:marBottom w:val="0"/>
      <w:divBdr>
        <w:top w:val="none" w:sz="0" w:space="0" w:color="auto"/>
        <w:left w:val="none" w:sz="0" w:space="0" w:color="auto"/>
        <w:bottom w:val="none" w:sz="0" w:space="0" w:color="auto"/>
        <w:right w:val="none" w:sz="0" w:space="0" w:color="auto"/>
      </w:divBdr>
      <w:divsChild>
        <w:div w:id="608897112">
          <w:marLeft w:val="547"/>
          <w:marRight w:val="0"/>
          <w:marTop w:val="130"/>
          <w:marBottom w:val="0"/>
          <w:divBdr>
            <w:top w:val="none" w:sz="0" w:space="0" w:color="auto"/>
            <w:left w:val="none" w:sz="0" w:space="0" w:color="auto"/>
            <w:bottom w:val="none" w:sz="0" w:space="0" w:color="auto"/>
            <w:right w:val="none" w:sz="0" w:space="0" w:color="auto"/>
          </w:divBdr>
        </w:div>
        <w:div w:id="1667902226">
          <w:marLeft w:val="547"/>
          <w:marRight w:val="0"/>
          <w:marTop w:val="130"/>
          <w:marBottom w:val="0"/>
          <w:divBdr>
            <w:top w:val="none" w:sz="0" w:space="0" w:color="auto"/>
            <w:left w:val="none" w:sz="0" w:space="0" w:color="auto"/>
            <w:bottom w:val="none" w:sz="0" w:space="0" w:color="auto"/>
            <w:right w:val="none" w:sz="0" w:space="0" w:color="auto"/>
          </w:divBdr>
        </w:div>
        <w:div w:id="2020887692">
          <w:marLeft w:val="547"/>
          <w:marRight w:val="0"/>
          <w:marTop w:val="130"/>
          <w:marBottom w:val="0"/>
          <w:divBdr>
            <w:top w:val="none" w:sz="0" w:space="0" w:color="auto"/>
            <w:left w:val="none" w:sz="0" w:space="0" w:color="auto"/>
            <w:bottom w:val="none" w:sz="0" w:space="0" w:color="auto"/>
            <w:right w:val="none" w:sz="0" w:space="0" w:color="auto"/>
          </w:divBdr>
        </w:div>
      </w:divsChild>
    </w:div>
    <w:div w:id="1231504919">
      <w:bodyDiv w:val="1"/>
      <w:marLeft w:val="0"/>
      <w:marRight w:val="0"/>
      <w:marTop w:val="0"/>
      <w:marBottom w:val="0"/>
      <w:divBdr>
        <w:top w:val="none" w:sz="0" w:space="0" w:color="auto"/>
        <w:left w:val="none" w:sz="0" w:space="0" w:color="auto"/>
        <w:bottom w:val="none" w:sz="0" w:space="0" w:color="auto"/>
        <w:right w:val="none" w:sz="0" w:space="0" w:color="auto"/>
      </w:divBdr>
      <w:divsChild>
        <w:div w:id="375008254">
          <w:marLeft w:val="547"/>
          <w:marRight w:val="0"/>
          <w:marTop w:val="106"/>
          <w:marBottom w:val="0"/>
          <w:divBdr>
            <w:top w:val="none" w:sz="0" w:space="0" w:color="auto"/>
            <w:left w:val="none" w:sz="0" w:space="0" w:color="auto"/>
            <w:bottom w:val="none" w:sz="0" w:space="0" w:color="auto"/>
            <w:right w:val="none" w:sz="0" w:space="0" w:color="auto"/>
          </w:divBdr>
        </w:div>
        <w:div w:id="1107845668">
          <w:marLeft w:val="547"/>
          <w:marRight w:val="0"/>
          <w:marTop w:val="106"/>
          <w:marBottom w:val="0"/>
          <w:divBdr>
            <w:top w:val="none" w:sz="0" w:space="0" w:color="auto"/>
            <w:left w:val="none" w:sz="0" w:space="0" w:color="auto"/>
            <w:bottom w:val="none" w:sz="0" w:space="0" w:color="auto"/>
            <w:right w:val="none" w:sz="0" w:space="0" w:color="auto"/>
          </w:divBdr>
        </w:div>
        <w:div w:id="1053164702">
          <w:marLeft w:val="547"/>
          <w:marRight w:val="0"/>
          <w:marTop w:val="106"/>
          <w:marBottom w:val="0"/>
          <w:divBdr>
            <w:top w:val="none" w:sz="0" w:space="0" w:color="auto"/>
            <w:left w:val="none" w:sz="0" w:space="0" w:color="auto"/>
            <w:bottom w:val="none" w:sz="0" w:space="0" w:color="auto"/>
            <w:right w:val="none" w:sz="0" w:space="0" w:color="auto"/>
          </w:divBdr>
        </w:div>
        <w:div w:id="2035038831">
          <w:marLeft w:val="547"/>
          <w:marRight w:val="0"/>
          <w:marTop w:val="106"/>
          <w:marBottom w:val="0"/>
          <w:divBdr>
            <w:top w:val="none" w:sz="0" w:space="0" w:color="auto"/>
            <w:left w:val="none" w:sz="0" w:space="0" w:color="auto"/>
            <w:bottom w:val="none" w:sz="0" w:space="0" w:color="auto"/>
            <w:right w:val="none" w:sz="0" w:space="0" w:color="auto"/>
          </w:divBdr>
        </w:div>
      </w:divsChild>
    </w:div>
    <w:div w:id="1645154968">
      <w:bodyDiv w:val="1"/>
      <w:marLeft w:val="0"/>
      <w:marRight w:val="0"/>
      <w:marTop w:val="0"/>
      <w:marBottom w:val="0"/>
      <w:divBdr>
        <w:top w:val="none" w:sz="0" w:space="0" w:color="auto"/>
        <w:left w:val="none" w:sz="0" w:space="0" w:color="auto"/>
        <w:bottom w:val="none" w:sz="0" w:space="0" w:color="auto"/>
        <w:right w:val="none" w:sz="0" w:space="0" w:color="auto"/>
      </w:divBdr>
    </w:div>
    <w:div w:id="1703477985">
      <w:bodyDiv w:val="1"/>
      <w:marLeft w:val="0"/>
      <w:marRight w:val="0"/>
      <w:marTop w:val="0"/>
      <w:marBottom w:val="0"/>
      <w:divBdr>
        <w:top w:val="none" w:sz="0" w:space="0" w:color="auto"/>
        <w:left w:val="none" w:sz="0" w:space="0" w:color="auto"/>
        <w:bottom w:val="none" w:sz="0" w:space="0" w:color="auto"/>
        <w:right w:val="none" w:sz="0" w:space="0" w:color="auto"/>
      </w:divBdr>
      <w:divsChild>
        <w:div w:id="1797988727">
          <w:marLeft w:val="547"/>
          <w:marRight w:val="0"/>
          <w:marTop w:val="115"/>
          <w:marBottom w:val="0"/>
          <w:divBdr>
            <w:top w:val="none" w:sz="0" w:space="0" w:color="auto"/>
            <w:left w:val="none" w:sz="0" w:space="0" w:color="auto"/>
            <w:bottom w:val="none" w:sz="0" w:space="0" w:color="auto"/>
            <w:right w:val="none" w:sz="0" w:space="0" w:color="auto"/>
          </w:divBdr>
        </w:div>
        <w:div w:id="879441412">
          <w:marLeft w:val="547"/>
          <w:marRight w:val="0"/>
          <w:marTop w:val="115"/>
          <w:marBottom w:val="0"/>
          <w:divBdr>
            <w:top w:val="none" w:sz="0" w:space="0" w:color="auto"/>
            <w:left w:val="none" w:sz="0" w:space="0" w:color="auto"/>
            <w:bottom w:val="none" w:sz="0" w:space="0" w:color="auto"/>
            <w:right w:val="none" w:sz="0" w:space="0" w:color="auto"/>
          </w:divBdr>
        </w:div>
        <w:div w:id="652835562">
          <w:marLeft w:val="547"/>
          <w:marRight w:val="0"/>
          <w:marTop w:val="115"/>
          <w:marBottom w:val="0"/>
          <w:divBdr>
            <w:top w:val="none" w:sz="0" w:space="0" w:color="auto"/>
            <w:left w:val="none" w:sz="0" w:space="0" w:color="auto"/>
            <w:bottom w:val="none" w:sz="0" w:space="0" w:color="auto"/>
            <w:right w:val="none" w:sz="0" w:space="0" w:color="auto"/>
          </w:divBdr>
        </w:div>
        <w:div w:id="1284968872">
          <w:marLeft w:val="547"/>
          <w:marRight w:val="0"/>
          <w:marTop w:val="115"/>
          <w:marBottom w:val="0"/>
          <w:divBdr>
            <w:top w:val="none" w:sz="0" w:space="0" w:color="auto"/>
            <w:left w:val="none" w:sz="0" w:space="0" w:color="auto"/>
            <w:bottom w:val="none" w:sz="0" w:space="0" w:color="auto"/>
            <w:right w:val="none" w:sz="0" w:space="0" w:color="auto"/>
          </w:divBdr>
        </w:div>
        <w:div w:id="97600613">
          <w:marLeft w:val="547"/>
          <w:marRight w:val="0"/>
          <w:marTop w:val="115"/>
          <w:marBottom w:val="0"/>
          <w:divBdr>
            <w:top w:val="none" w:sz="0" w:space="0" w:color="auto"/>
            <w:left w:val="none" w:sz="0" w:space="0" w:color="auto"/>
            <w:bottom w:val="none" w:sz="0" w:space="0" w:color="auto"/>
            <w:right w:val="none" w:sz="0" w:space="0" w:color="auto"/>
          </w:divBdr>
        </w:div>
      </w:divsChild>
    </w:div>
    <w:div w:id="1734160833">
      <w:bodyDiv w:val="1"/>
      <w:marLeft w:val="0"/>
      <w:marRight w:val="0"/>
      <w:marTop w:val="0"/>
      <w:marBottom w:val="0"/>
      <w:divBdr>
        <w:top w:val="none" w:sz="0" w:space="0" w:color="auto"/>
        <w:left w:val="none" w:sz="0" w:space="0" w:color="auto"/>
        <w:bottom w:val="none" w:sz="0" w:space="0" w:color="auto"/>
        <w:right w:val="none" w:sz="0" w:space="0" w:color="auto"/>
      </w:divBdr>
    </w:div>
    <w:div w:id="2025084696">
      <w:bodyDiv w:val="1"/>
      <w:marLeft w:val="0"/>
      <w:marRight w:val="0"/>
      <w:marTop w:val="0"/>
      <w:marBottom w:val="0"/>
      <w:divBdr>
        <w:top w:val="none" w:sz="0" w:space="0" w:color="auto"/>
        <w:left w:val="none" w:sz="0" w:space="0" w:color="auto"/>
        <w:bottom w:val="none" w:sz="0" w:space="0" w:color="auto"/>
        <w:right w:val="none" w:sz="0" w:space="0" w:color="auto"/>
      </w:divBdr>
      <w:divsChild>
        <w:div w:id="1500074668">
          <w:marLeft w:val="547"/>
          <w:marRight w:val="0"/>
          <w:marTop w:val="154"/>
          <w:marBottom w:val="0"/>
          <w:divBdr>
            <w:top w:val="none" w:sz="0" w:space="0" w:color="auto"/>
            <w:left w:val="none" w:sz="0" w:space="0" w:color="auto"/>
            <w:bottom w:val="none" w:sz="0" w:space="0" w:color="auto"/>
            <w:right w:val="none" w:sz="0" w:space="0" w:color="auto"/>
          </w:divBdr>
        </w:div>
        <w:div w:id="2139834420">
          <w:marLeft w:val="547"/>
          <w:marRight w:val="0"/>
          <w:marTop w:val="154"/>
          <w:marBottom w:val="0"/>
          <w:divBdr>
            <w:top w:val="none" w:sz="0" w:space="0" w:color="auto"/>
            <w:left w:val="none" w:sz="0" w:space="0" w:color="auto"/>
            <w:bottom w:val="none" w:sz="0" w:space="0" w:color="auto"/>
            <w:right w:val="none" w:sz="0" w:space="0" w:color="auto"/>
          </w:divBdr>
        </w:div>
        <w:div w:id="376318920">
          <w:marLeft w:val="547"/>
          <w:marRight w:val="0"/>
          <w:marTop w:val="154"/>
          <w:marBottom w:val="0"/>
          <w:divBdr>
            <w:top w:val="none" w:sz="0" w:space="0" w:color="auto"/>
            <w:left w:val="none" w:sz="0" w:space="0" w:color="auto"/>
            <w:bottom w:val="none" w:sz="0" w:space="0" w:color="auto"/>
            <w:right w:val="none" w:sz="0" w:space="0" w:color="auto"/>
          </w:divBdr>
        </w:div>
        <w:div w:id="1579167741">
          <w:marLeft w:val="547"/>
          <w:marRight w:val="0"/>
          <w:marTop w:val="154"/>
          <w:marBottom w:val="0"/>
          <w:divBdr>
            <w:top w:val="none" w:sz="0" w:space="0" w:color="auto"/>
            <w:left w:val="none" w:sz="0" w:space="0" w:color="auto"/>
            <w:bottom w:val="none" w:sz="0" w:space="0" w:color="auto"/>
            <w:right w:val="none" w:sz="0" w:space="0" w:color="auto"/>
          </w:divBdr>
        </w:div>
        <w:div w:id="1196651905">
          <w:marLeft w:val="547"/>
          <w:marRight w:val="0"/>
          <w:marTop w:val="154"/>
          <w:marBottom w:val="0"/>
          <w:divBdr>
            <w:top w:val="none" w:sz="0" w:space="0" w:color="auto"/>
            <w:left w:val="none" w:sz="0" w:space="0" w:color="auto"/>
            <w:bottom w:val="none" w:sz="0" w:space="0" w:color="auto"/>
            <w:right w:val="none" w:sz="0" w:space="0" w:color="auto"/>
          </w:divBdr>
        </w:div>
      </w:divsChild>
    </w:div>
    <w:div w:id="208784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5</Pages>
  <Words>1872</Words>
  <Characters>10301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ORLANDO</dc:creator>
  <cp:lastModifiedBy>ORLANDO</cp:lastModifiedBy>
  <cp:revision>8</cp:revision>
  <dcterms:created xsi:type="dcterms:W3CDTF">2017-01-15T11:02:00Z</dcterms:created>
  <dcterms:modified xsi:type="dcterms:W3CDTF">2017-01-16T01:42:00Z</dcterms:modified>
</cp:coreProperties>
</file>