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731" w:type="dxa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Layout w:type="fixed"/>
        <w:tblLook w:val="04A0"/>
      </w:tblPr>
      <w:tblGrid>
        <w:gridCol w:w="767"/>
        <w:gridCol w:w="475"/>
        <w:gridCol w:w="425"/>
        <w:gridCol w:w="854"/>
        <w:gridCol w:w="705"/>
        <w:gridCol w:w="567"/>
        <w:gridCol w:w="992"/>
        <w:gridCol w:w="425"/>
        <w:gridCol w:w="993"/>
        <w:gridCol w:w="1417"/>
        <w:gridCol w:w="1099"/>
        <w:gridCol w:w="12"/>
      </w:tblGrid>
      <w:tr w:rsidR="003B17BF" w:rsidRPr="003B17BF" w:rsidTr="00C37C8F">
        <w:trPr>
          <w:gridAfter w:val="1"/>
          <w:wAfter w:w="12" w:type="dxa"/>
          <w:trHeight w:val="397"/>
        </w:trPr>
        <w:tc>
          <w:tcPr>
            <w:tcW w:w="8719" w:type="dxa"/>
            <w:gridSpan w:val="11"/>
            <w:shd w:val="clear" w:color="auto" w:fill="4F81BD" w:themeFill="accent1"/>
            <w:vAlign w:val="center"/>
            <w:hideMark/>
          </w:tcPr>
          <w:p w:rsidR="00457FE3" w:rsidRPr="004525C2" w:rsidRDefault="004A68EF" w:rsidP="00680C8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Sesión Paralela:</w:t>
            </w: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C37C8F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Mecanismos Nacionales para la RRD</w:t>
            </w:r>
          </w:p>
        </w:tc>
      </w:tr>
      <w:tr w:rsidR="00B227FE" w:rsidRPr="003B17BF" w:rsidTr="005C521C">
        <w:trPr>
          <w:gridAfter w:val="1"/>
          <w:wAfter w:w="12" w:type="dxa"/>
          <w:trHeight w:val="274"/>
        </w:trPr>
        <w:tc>
          <w:tcPr>
            <w:tcW w:w="767" w:type="dxa"/>
            <w:vAlign w:val="center"/>
            <w:hideMark/>
          </w:tcPr>
          <w:p w:rsidR="00AE4730" w:rsidRPr="004525C2" w:rsidRDefault="00AE4730" w:rsidP="00437C89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Fecha: </w:t>
            </w:r>
          </w:p>
        </w:tc>
        <w:tc>
          <w:tcPr>
            <w:tcW w:w="900" w:type="dxa"/>
            <w:gridSpan w:val="2"/>
            <w:vAlign w:val="center"/>
          </w:tcPr>
          <w:p w:rsidR="00AE4730" w:rsidRPr="004525C2" w:rsidRDefault="00AE4730" w:rsidP="00B227FE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Cs/>
                <w:sz w:val="18"/>
                <w:szCs w:val="18"/>
              </w:rPr>
              <w:t>16</w:t>
            </w:r>
            <w:r w:rsidR="00B227FE" w:rsidRPr="004525C2">
              <w:rPr>
                <w:rFonts w:ascii="Arial Narrow" w:hAnsi="Arial Narrow" w:cs="Arial"/>
                <w:bCs/>
                <w:sz w:val="18"/>
                <w:szCs w:val="18"/>
              </w:rPr>
              <w:t>/</w:t>
            </w:r>
            <w:r w:rsidRPr="004525C2">
              <w:rPr>
                <w:rFonts w:ascii="Arial Narrow" w:hAnsi="Arial Narrow" w:cs="Arial"/>
                <w:bCs/>
                <w:sz w:val="18"/>
                <w:szCs w:val="18"/>
              </w:rPr>
              <w:t>Marzo</w:t>
            </w:r>
          </w:p>
        </w:tc>
        <w:tc>
          <w:tcPr>
            <w:tcW w:w="854" w:type="dxa"/>
            <w:vAlign w:val="center"/>
          </w:tcPr>
          <w:p w:rsidR="00AE4730" w:rsidRPr="004525C2" w:rsidRDefault="00AE4730" w:rsidP="00527B22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Horario: </w:t>
            </w:r>
          </w:p>
        </w:tc>
        <w:tc>
          <w:tcPr>
            <w:tcW w:w="1272" w:type="dxa"/>
            <w:gridSpan w:val="2"/>
            <w:vAlign w:val="center"/>
          </w:tcPr>
          <w:p w:rsidR="00AE4730" w:rsidRPr="004525C2" w:rsidRDefault="004A71AC" w:rsidP="004A71AC">
            <w:pPr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16</w:t>
            </w:r>
            <w:r w:rsidR="00AE4730" w:rsidRPr="004525C2">
              <w:rPr>
                <w:rFonts w:ascii="Arial Narrow" w:hAnsi="Arial Narrow" w:cs="Arial"/>
                <w:bCs/>
                <w:sz w:val="18"/>
                <w:szCs w:val="18"/>
              </w:rPr>
              <w:t>: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15</w:t>
            </w:r>
            <w:r w:rsidR="00AE4730" w:rsidRPr="004525C2">
              <w:rPr>
                <w:rFonts w:ascii="Arial Narrow" w:hAnsi="Arial Narrow" w:cs="Arial"/>
                <w:bCs/>
                <w:sz w:val="18"/>
                <w:szCs w:val="18"/>
              </w:rPr>
              <w:t xml:space="preserve"> – </w:t>
            </w:r>
            <w:r w:rsidR="004A0EFA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9</w:t>
            </w:r>
            <w:r w:rsidR="003E3FC0">
              <w:rPr>
                <w:rFonts w:ascii="Arial Narrow" w:hAnsi="Arial Narrow" w:cs="Arial"/>
                <w:bCs/>
                <w:sz w:val="18"/>
                <w:szCs w:val="18"/>
              </w:rPr>
              <w:t>: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AE4730" w:rsidRPr="004525C2" w:rsidRDefault="00AE4730" w:rsidP="00527B22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/>
                <w:bCs/>
                <w:sz w:val="18"/>
                <w:szCs w:val="18"/>
              </w:rPr>
              <w:t>Duración:</w:t>
            </w:r>
          </w:p>
        </w:tc>
        <w:tc>
          <w:tcPr>
            <w:tcW w:w="1418" w:type="dxa"/>
            <w:gridSpan w:val="2"/>
            <w:vAlign w:val="center"/>
          </w:tcPr>
          <w:p w:rsidR="00AE4730" w:rsidRPr="004525C2" w:rsidRDefault="004A0EFA" w:rsidP="004A71AC">
            <w:pPr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  <w:r w:rsidR="00AE4730" w:rsidRPr="004525C2">
              <w:rPr>
                <w:rFonts w:ascii="Arial Narrow" w:hAnsi="Arial Narrow" w:cs="Arial"/>
                <w:bCs/>
                <w:sz w:val="18"/>
                <w:szCs w:val="18"/>
              </w:rPr>
              <w:t xml:space="preserve"> horas </w:t>
            </w:r>
            <w:r w:rsidR="004A71AC">
              <w:rPr>
                <w:rFonts w:ascii="Arial Narrow" w:hAnsi="Arial Narrow" w:cs="Arial"/>
                <w:bCs/>
                <w:sz w:val="18"/>
                <w:szCs w:val="18"/>
              </w:rPr>
              <w:t>y 45 min.</w:t>
            </w:r>
          </w:p>
        </w:tc>
        <w:tc>
          <w:tcPr>
            <w:tcW w:w="1417" w:type="dxa"/>
            <w:vAlign w:val="center"/>
          </w:tcPr>
          <w:p w:rsidR="00AE4730" w:rsidRPr="004525C2" w:rsidRDefault="00AE4730" w:rsidP="00437C89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/>
                <w:bCs/>
                <w:sz w:val="18"/>
                <w:szCs w:val="18"/>
              </w:rPr>
              <w:t>Participantes:</w:t>
            </w:r>
          </w:p>
        </w:tc>
        <w:tc>
          <w:tcPr>
            <w:tcW w:w="1099" w:type="dxa"/>
            <w:vAlign w:val="center"/>
          </w:tcPr>
          <w:p w:rsidR="00AE4730" w:rsidRPr="004525C2" w:rsidRDefault="00B227FE" w:rsidP="00437C89">
            <w:pPr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Cs/>
                <w:sz w:val="18"/>
                <w:szCs w:val="18"/>
              </w:rPr>
              <w:t xml:space="preserve">Máximo </w:t>
            </w:r>
            <w:r w:rsidR="00C37C8F">
              <w:rPr>
                <w:rFonts w:ascii="Arial Narrow" w:hAnsi="Arial Narrow" w:cs="Arial"/>
                <w:bCs/>
                <w:sz w:val="18"/>
                <w:szCs w:val="18"/>
              </w:rPr>
              <w:t>40</w:t>
            </w:r>
          </w:p>
        </w:tc>
      </w:tr>
      <w:tr w:rsidR="00EF51D6" w:rsidRPr="003B17BF" w:rsidTr="004A68EF">
        <w:trPr>
          <w:gridAfter w:val="1"/>
          <w:wAfter w:w="12" w:type="dxa"/>
          <w:trHeight w:val="142"/>
        </w:trPr>
        <w:tc>
          <w:tcPr>
            <w:tcW w:w="1667" w:type="dxa"/>
            <w:gridSpan w:val="3"/>
            <w:vAlign w:val="center"/>
            <w:hideMark/>
          </w:tcPr>
          <w:p w:rsidR="00EF51D6" w:rsidRPr="004525C2" w:rsidRDefault="00EF51D6" w:rsidP="00437C89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525C2">
              <w:rPr>
                <w:rFonts w:ascii="Arial Narrow" w:hAnsi="Arial Narrow" w:cs="Arial"/>
                <w:b/>
                <w:bCs/>
                <w:sz w:val="18"/>
                <w:szCs w:val="18"/>
              </w:rPr>
              <w:t>Objetivos:</w:t>
            </w:r>
          </w:p>
        </w:tc>
        <w:tc>
          <w:tcPr>
            <w:tcW w:w="7052" w:type="dxa"/>
            <w:gridSpan w:val="8"/>
            <w:vAlign w:val="center"/>
          </w:tcPr>
          <w:p w:rsidR="00441239" w:rsidRPr="00441239" w:rsidRDefault="00441239" w:rsidP="00441239">
            <w:pPr>
              <w:pStyle w:val="Prrafodelista"/>
              <w:numPr>
                <w:ilvl w:val="0"/>
                <w:numId w:val="3"/>
              </w:numPr>
              <w:ind w:left="145" w:hanging="145"/>
              <w:rPr>
                <w:rFonts w:ascii="Garamond" w:hAnsi="Garamond" w:cs="Arial"/>
                <w:bCs/>
                <w:sz w:val="20"/>
                <w:szCs w:val="20"/>
              </w:rPr>
            </w:pPr>
            <w:r w:rsidRPr="00441239">
              <w:rPr>
                <w:rFonts w:ascii="Garamond" w:hAnsi="Garamond" w:cs="Arial"/>
                <w:bCs/>
                <w:sz w:val="20"/>
                <w:szCs w:val="20"/>
              </w:rPr>
              <w:t>Conocer el estado de la situación en la región en relación con los procesos de Plataformas Nacionales</w:t>
            </w:r>
          </w:p>
          <w:p w:rsidR="00441239" w:rsidRPr="00441239" w:rsidRDefault="00441239" w:rsidP="00441239">
            <w:pPr>
              <w:pStyle w:val="Prrafodelista"/>
              <w:numPr>
                <w:ilvl w:val="0"/>
                <w:numId w:val="3"/>
              </w:numPr>
              <w:ind w:left="145" w:hanging="145"/>
              <w:rPr>
                <w:rFonts w:ascii="Garamond" w:hAnsi="Garamond" w:cs="Arial"/>
                <w:bCs/>
                <w:sz w:val="20"/>
                <w:szCs w:val="20"/>
              </w:rPr>
            </w:pPr>
            <w:r w:rsidRPr="00441239">
              <w:rPr>
                <w:rFonts w:ascii="Garamond" w:hAnsi="Garamond" w:cs="Arial"/>
                <w:bCs/>
                <w:sz w:val="20"/>
                <w:szCs w:val="20"/>
              </w:rPr>
              <w:t>Identificar los desafíos y oportunidades a corto y mediano plazo 2011-2015.</w:t>
            </w:r>
          </w:p>
          <w:p w:rsidR="00180F18" w:rsidRPr="00441239" w:rsidRDefault="00441239" w:rsidP="00441239">
            <w:pPr>
              <w:pStyle w:val="Prrafodelista"/>
              <w:numPr>
                <w:ilvl w:val="0"/>
                <w:numId w:val="3"/>
              </w:numPr>
              <w:ind w:left="145" w:hanging="145"/>
              <w:rPr>
                <w:rFonts w:ascii="Garamond" w:hAnsi="Garamond" w:cs="Arial"/>
                <w:bCs/>
                <w:sz w:val="20"/>
                <w:szCs w:val="20"/>
              </w:rPr>
            </w:pPr>
            <w:r w:rsidRPr="00441239">
              <w:rPr>
                <w:rFonts w:ascii="Garamond" w:hAnsi="Garamond" w:cs="Arial"/>
                <w:bCs/>
                <w:sz w:val="20"/>
                <w:szCs w:val="20"/>
              </w:rPr>
              <w:t>Señalar las acciones prioritarias para las PNs a nivel: regional, subregional y nacional hacia el 2015.</w:t>
            </w:r>
          </w:p>
        </w:tc>
      </w:tr>
      <w:tr w:rsidR="009D3026" w:rsidRPr="003B17BF" w:rsidTr="004A68EF">
        <w:trPr>
          <w:gridAfter w:val="1"/>
          <w:wAfter w:w="12" w:type="dxa"/>
          <w:trHeight w:val="142"/>
        </w:trPr>
        <w:tc>
          <w:tcPr>
            <w:tcW w:w="1667" w:type="dxa"/>
            <w:gridSpan w:val="3"/>
            <w:vAlign w:val="center"/>
            <w:hideMark/>
          </w:tcPr>
          <w:p w:rsidR="009D3026" w:rsidRPr="009D3026" w:rsidRDefault="009D3026" w:rsidP="00D84D9F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D3026">
              <w:rPr>
                <w:rFonts w:ascii="Arial Narrow" w:hAnsi="Arial Narrow" w:cs="Arial"/>
                <w:b/>
                <w:bCs/>
                <w:sz w:val="18"/>
                <w:szCs w:val="18"/>
              </w:rPr>
              <w:t>Presentación de la Sesión:</w:t>
            </w:r>
          </w:p>
          <w:p w:rsidR="009D3026" w:rsidRPr="009D3026" w:rsidRDefault="009D3026" w:rsidP="00D84D9F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D3026">
              <w:rPr>
                <w:rFonts w:ascii="Arial Narrow" w:hAnsi="Arial Narrow" w:cs="Arial"/>
                <w:bCs/>
                <w:sz w:val="16"/>
                <w:szCs w:val="16"/>
              </w:rPr>
              <w:t>(Coordinador temático y/o moderador)</w:t>
            </w:r>
          </w:p>
        </w:tc>
        <w:tc>
          <w:tcPr>
            <w:tcW w:w="7052" w:type="dxa"/>
            <w:gridSpan w:val="8"/>
            <w:vAlign w:val="center"/>
          </w:tcPr>
          <w:p w:rsidR="009D3026" w:rsidRPr="00441239" w:rsidRDefault="00441239" w:rsidP="00441239">
            <w:pPr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441239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Para informar el desarrollo de la sesión se presentaran los principales hallazgos del estudio comisionado por la UNISDR Américas y la FIRC sobre </w:t>
            </w:r>
            <w:r w:rsidRPr="005C521C">
              <w:rPr>
                <w:rFonts w:ascii="Garamond" w:hAnsi="Garamond" w:cs="Arial"/>
                <w:bCs/>
                <w:i/>
                <w:sz w:val="20"/>
                <w:szCs w:val="20"/>
                <w:lang w:val="es-MX"/>
              </w:rPr>
              <w:t>“Plataformas Nacionales de RRD en las Américas: un análisis crítico de estos procesos a cinco años de la adopción del MAH”</w:t>
            </w:r>
            <w:r w:rsidRPr="00441239">
              <w:rPr>
                <w:vertAlign w:val="superscript"/>
                <w:lang w:val="es-MX"/>
              </w:rPr>
              <w:footnoteReference w:id="2"/>
            </w:r>
            <w:r w:rsidRPr="00441239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. </w:t>
            </w:r>
            <w:r w:rsidR="005C521C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 A continuación, un</w:t>
            </w:r>
            <w:r w:rsidRPr="00441239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 grupo de panelistas compartirá sus reflexiones </w:t>
            </w:r>
            <w:r w:rsidR="005C521C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sobre los hallazgos del estudio</w:t>
            </w:r>
            <w:r w:rsidRPr="00441239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 desde la perspectiva sus exper</w:t>
            </w:r>
            <w:r w:rsidR="005C521C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iencias nacionale</w:t>
            </w:r>
            <w:r w:rsidR="001D23C6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s</w:t>
            </w:r>
            <w:r w:rsid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, para luego  abrir un</w:t>
            </w:r>
            <w:r w:rsidRPr="00441239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 espacio de debate en plenaria </w:t>
            </w:r>
            <w:r w:rsid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que </w:t>
            </w:r>
            <w:r w:rsidRPr="00441239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estará estructurado por una serie de preguntas claves que serán introducidos por un moderador.</w:t>
            </w:r>
          </w:p>
        </w:tc>
      </w:tr>
      <w:tr w:rsidR="009D3026" w:rsidRPr="003B17BF" w:rsidTr="004A68EF">
        <w:trPr>
          <w:gridAfter w:val="1"/>
          <w:wAfter w:w="12" w:type="dxa"/>
          <w:trHeight w:val="142"/>
        </w:trPr>
        <w:tc>
          <w:tcPr>
            <w:tcW w:w="1667" w:type="dxa"/>
            <w:gridSpan w:val="3"/>
            <w:vAlign w:val="center"/>
            <w:hideMark/>
          </w:tcPr>
          <w:p w:rsidR="009D3026" w:rsidRPr="009D3026" w:rsidRDefault="009D3026" w:rsidP="00D84D9F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D3026">
              <w:rPr>
                <w:rFonts w:ascii="Arial Narrow" w:hAnsi="Arial Narrow" w:cs="Arial"/>
                <w:b/>
                <w:bCs/>
                <w:sz w:val="18"/>
                <w:szCs w:val="18"/>
              </w:rPr>
              <w:t>Preguntas clave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52" w:type="dxa"/>
            <w:gridSpan w:val="8"/>
            <w:vAlign w:val="center"/>
          </w:tcPr>
          <w:p w:rsidR="009D3026" w:rsidRPr="009D3026" w:rsidRDefault="009D3026" w:rsidP="004A68EF">
            <w:pPr>
              <w:pStyle w:val="Prrafodelista"/>
              <w:numPr>
                <w:ilvl w:val="0"/>
                <w:numId w:val="18"/>
              </w:numPr>
              <w:ind w:left="145" w:hanging="145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63042" w:rsidRPr="005C2F23" w:rsidTr="00126A70">
        <w:trPr>
          <w:trHeight w:val="142"/>
        </w:trPr>
        <w:tc>
          <w:tcPr>
            <w:tcW w:w="8731" w:type="dxa"/>
            <w:gridSpan w:val="12"/>
            <w:shd w:val="clear" w:color="auto" w:fill="365F91" w:themeFill="accent1" w:themeFillShade="BF"/>
            <w:vAlign w:val="center"/>
            <w:hideMark/>
          </w:tcPr>
          <w:p w:rsidR="00C63042" w:rsidRPr="00765988" w:rsidRDefault="00C63042" w:rsidP="00C63042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65988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Estructura de la Sesión</w:t>
            </w:r>
          </w:p>
        </w:tc>
      </w:tr>
      <w:tr w:rsidR="004A68EF" w:rsidRPr="003B17BF" w:rsidTr="004A68EF">
        <w:trPr>
          <w:trHeight w:val="310"/>
        </w:trPr>
        <w:tc>
          <w:tcPr>
            <w:tcW w:w="1667" w:type="dxa"/>
            <w:gridSpan w:val="3"/>
            <w:vAlign w:val="center"/>
            <w:hideMark/>
          </w:tcPr>
          <w:p w:rsidR="004A68EF" w:rsidRPr="00050BEC" w:rsidRDefault="004A68EF" w:rsidP="00437C89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Coordinador:</w:t>
            </w:r>
          </w:p>
        </w:tc>
        <w:tc>
          <w:tcPr>
            <w:tcW w:w="2126" w:type="dxa"/>
            <w:gridSpan w:val="3"/>
            <w:vAlign w:val="center"/>
          </w:tcPr>
          <w:p w:rsidR="004A68EF" w:rsidRPr="00791153" w:rsidRDefault="00C37C8F" w:rsidP="004A68EF">
            <w:pPr>
              <w:jc w:val="left"/>
              <w:rPr>
                <w:rFonts w:ascii="Garamond" w:hAnsi="Garamond" w:cs="Arial"/>
                <w:bCs/>
                <w:sz w:val="18"/>
                <w:szCs w:val="18"/>
              </w:rPr>
            </w:pPr>
            <w:r w:rsidRPr="00791153">
              <w:rPr>
                <w:rFonts w:ascii="Garamond" w:hAnsi="Garamond" w:cs="Arial"/>
                <w:bCs/>
                <w:sz w:val="18"/>
                <w:szCs w:val="18"/>
              </w:rPr>
              <w:t>UNISDR / IFRC</w:t>
            </w:r>
          </w:p>
        </w:tc>
        <w:tc>
          <w:tcPr>
            <w:tcW w:w="4938" w:type="dxa"/>
            <w:gridSpan w:val="6"/>
            <w:vAlign w:val="center"/>
          </w:tcPr>
          <w:p w:rsidR="004A68EF" w:rsidRPr="00791153" w:rsidRDefault="00441239" w:rsidP="00C37C8F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>Haris Sanahuja, consultor</w:t>
            </w:r>
          </w:p>
        </w:tc>
      </w:tr>
      <w:tr w:rsidR="004A68EF" w:rsidRPr="003B17BF" w:rsidTr="00791153">
        <w:trPr>
          <w:trHeight w:val="485"/>
        </w:trPr>
        <w:tc>
          <w:tcPr>
            <w:tcW w:w="1667" w:type="dxa"/>
            <w:gridSpan w:val="3"/>
            <w:vAlign w:val="center"/>
            <w:hideMark/>
          </w:tcPr>
          <w:p w:rsidR="004A68EF" w:rsidRPr="00050BEC" w:rsidRDefault="004A68EF" w:rsidP="00C63042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50BEC">
              <w:rPr>
                <w:rFonts w:ascii="Arial Narrow" w:hAnsi="Arial Narrow" w:cs="Arial"/>
                <w:b/>
                <w:bCs/>
                <w:sz w:val="18"/>
                <w:szCs w:val="18"/>
              </w:rPr>
              <w:t>Moder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ador</w:t>
            </w:r>
            <w:r w:rsidRPr="00050BEC">
              <w:rPr>
                <w:rFonts w:ascii="Arial Narrow" w:hAnsi="Arial Narrow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3"/>
            <w:vAlign w:val="center"/>
          </w:tcPr>
          <w:p w:rsidR="004A68EF" w:rsidRPr="00791153" w:rsidRDefault="00441239" w:rsidP="00BC25CD">
            <w:pPr>
              <w:jc w:val="lef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>IFRC</w:t>
            </w:r>
            <w:r w:rsidR="004A71AC" w:rsidRPr="00791153">
              <w:rPr>
                <w:rFonts w:ascii="Garamond" w:hAnsi="Garamond" w:cs="Arial"/>
                <w:bCs/>
                <w:sz w:val="20"/>
                <w:szCs w:val="20"/>
              </w:rPr>
              <w:br/>
            </w:r>
          </w:p>
        </w:tc>
        <w:tc>
          <w:tcPr>
            <w:tcW w:w="4938" w:type="dxa"/>
            <w:gridSpan w:val="6"/>
            <w:vAlign w:val="center"/>
          </w:tcPr>
          <w:p w:rsidR="004A71AC" w:rsidRPr="00791153" w:rsidRDefault="00441239" w:rsidP="00B33F97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Nelson Castaño; </w:t>
            </w:r>
            <w:r w:rsidR="00B33F97">
              <w:rPr>
                <w:rFonts w:ascii="Garamond" w:hAnsi="Garamond" w:cs="Arial"/>
                <w:bCs/>
                <w:sz w:val="20"/>
                <w:szCs w:val="20"/>
              </w:rPr>
              <w:t xml:space="preserve">Coordinador de Gestión de Riesgos, Oficina Zona de las </w:t>
            </w: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>Américas</w:t>
            </w:r>
          </w:p>
        </w:tc>
      </w:tr>
      <w:tr w:rsidR="004A68EF" w:rsidRPr="003B17BF" w:rsidTr="00791153">
        <w:trPr>
          <w:trHeight w:val="549"/>
        </w:trPr>
        <w:tc>
          <w:tcPr>
            <w:tcW w:w="1667" w:type="dxa"/>
            <w:gridSpan w:val="3"/>
            <w:vAlign w:val="center"/>
            <w:hideMark/>
          </w:tcPr>
          <w:p w:rsidR="004A68EF" w:rsidRPr="00050BEC" w:rsidRDefault="004A68EF" w:rsidP="00C63042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Relator:</w:t>
            </w:r>
          </w:p>
        </w:tc>
        <w:tc>
          <w:tcPr>
            <w:tcW w:w="2126" w:type="dxa"/>
            <w:gridSpan w:val="3"/>
            <w:vAlign w:val="center"/>
          </w:tcPr>
          <w:p w:rsidR="004A68EF" w:rsidRPr="00791153" w:rsidRDefault="00B33F97" w:rsidP="004A68EF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SICA</w:t>
            </w:r>
          </w:p>
        </w:tc>
        <w:tc>
          <w:tcPr>
            <w:tcW w:w="4938" w:type="dxa"/>
            <w:gridSpan w:val="6"/>
            <w:vAlign w:val="center"/>
          </w:tcPr>
          <w:p w:rsidR="004A68EF" w:rsidRPr="00791153" w:rsidRDefault="00B33F97" w:rsidP="004A68EF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Jessica Solano, Gerente Técnica, SE-CEPREDENAC, SICA</w:t>
            </w:r>
          </w:p>
        </w:tc>
      </w:tr>
      <w:tr w:rsidR="004A68EF" w:rsidRPr="009D3026" w:rsidTr="00791153">
        <w:trPr>
          <w:trHeight w:val="557"/>
        </w:trPr>
        <w:tc>
          <w:tcPr>
            <w:tcW w:w="1667" w:type="dxa"/>
            <w:gridSpan w:val="3"/>
            <w:vAlign w:val="center"/>
            <w:hideMark/>
          </w:tcPr>
          <w:p w:rsidR="004A68EF" w:rsidRPr="00050BEC" w:rsidRDefault="004A68EF" w:rsidP="00D84D9F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Seguimiento:</w:t>
            </w:r>
          </w:p>
        </w:tc>
        <w:tc>
          <w:tcPr>
            <w:tcW w:w="2126" w:type="dxa"/>
            <w:gridSpan w:val="3"/>
            <w:vAlign w:val="center"/>
          </w:tcPr>
          <w:p w:rsidR="004A68EF" w:rsidRPr="00791153" w:rsidRDefault="004A68EF" w:rsidP="00D84D9F">
            <w:pPr>
              <w:jc w:val="left"/>
              <w:rPr>
                <w:rFonts w:ascii="Garamond" w:hAnsi="Garamond" w:cs="Arial"/>
                <w:bCs/>
                <w:sz w:val="18"/>
                <w:szCs w:val="18"/>
              </w:rPr>
            </w:pPr>
            <w:r w:rsidRPr="00791153">
              <w:rPr>
                <w:rFonts w:ascii="Garamond" w:hAnsi="Garamond" w:cs="Arial"/>
                <w:bCs/>
                <w:sz w:val="18"/>
                <w:szCs w:val="18"/>
              </w:rPr>
              <w:t>UNISDR</w:t>
            </w:r>
          </w:p>
        </w:tc>
        <w:tc>
          <w:tcPr>
            <w:tcW w:w="4938" w:type="dxa"/>
            <w:gridSpan w:val="6"/>
            <w:vAlign w:val="center"/>
          </w:tcPr>
          <w:p w:rsidR="004A68EF" w:rsidRPr="00791153" w:rsidRDefault="00441239" w:rsidP="00451584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Nora Villegas </w:t>
            </w:r>
          </w:p>
        </w:tc>
      </w:tr>
      <w:tr w:rsidR="004A68EF" w:rsidRPr="009D3026" w:rsidTr="00791153">
        <w:trPr>
          <w:trHeight w:val="410"/>
        </w:trPr>
        <w:tc>
          <w:tcPr>
            <w:tcW w:w="8731" w:type="dxa"/>
            <w:gridSpan w:val="12"/>
            <w:shd w:val="clear" w:color="auto" w:fill="365F91" w:themeFill="accent1" w:themeFillShade="BF"/>
            <w:vAlign w:val="center"/>
            <w:hideMark/>
          </w:tcPr>
          <w:p w:rsidR="004A68EF" w:rsidRPr="00126A70" w:rsidRDefault="004A68EF" w:rsidP="009D3026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  <w:tr w:rsidR="004A68EF" w:rsidRPr="009D3026" w:rsidTr="00FC7793">
        <w:trPr>
          <w:trHeight w:val="642"/>
        </w:trPr>
        <w:tc>
          <w:tcPr>
            <w:tcW w:w="1242" w:type="dxa"/>
            <w:gridSpan w:val="2"/>
            <w:vAlign w:val="center"/>
            <w:hideMark/>
          </w:tcPr>
          <w:p w:rsidR="004A68EF" w:rsidRDefault="004A68EF" w:rsidP="002711EC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Tiempo estimado</w:t>
            </w:r>
          </w:p>
        </w:tc>
        <w:tc>
          <w:tcPr>
            <w:tcW w:w="1984" w:type="dxa"/>
            <w:gridSpan w:val="3"/>
            <w:vAlign w:val="center"/>
          </w:tcPr>
          <w:p w:rsidR="004A68EF" w:rsidRDefault="004A68EF" w:rsidP="00D84D9F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Ponente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9D3026" w:rsidRDefault="004A68EF" w:rsidP="00D84D9F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D3026">
              <w:rPr>
                <w:rFonts w:ascii="Arial Narrow" w:hAnsi="Arial Narrow" w:cs="Arial"/>
                <w:b/>
                <w:bCs/>
                <w:sz w:val="18"/>
                <w:szCs w:val="18"/>
              </w:rPr>
              <w:t>Organismo</w:t>
            </w:r>
          </w:p>
        </w:tc>
        <w:tc>
          <w:tcPr>
            <w:tcW w:w="3521" w:type="dxa"/>
            <w:gridSpan w:val="4"/>
            <w:vAlign w:val="center"/>
          </w:tcPr>
          <w:p w:rsidR="004A68EF" w:rsidRPr="009D3026" w:rsidRDefault="004A68EF" w:rsidP="009D3026">
            <w:pPr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Nombre de la ponencia</w:t>
            </w:r>
          </w:p>
        </w:tc>
      </w:tr>
      <w:tr w:rsidR="004A68EF" w:rsidRPr="00441239" w:rsidTr="00FC7793">
        <w:trPr>
          <w:trHeight w:val="398"/>
        </w:trPr>
        <w:tc>
          <w:tcPr>
            <w:tcW w:w="1242" w:type="dxa"/>
            <w:gridSpan w:val="2"/>
            <w:vAlign w:val="center"/>
            <w:hideMark/>
          </w:tcPr>
          <w:p w:rsidR="004A68EF" w:rsidRPr="00791153" w:rsidRDefault="00441239" w:rsidP="004A68EF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>20 minutos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4A71AC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Haris Sanahuja 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4A71AC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fr-FR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fr-FR"/>
              </w:rPr>
              <w:t>Consultor, Banco Mundial</w:t>
            </w:r>
          </w:p>
        </w:tc>
        <w:tc>
          <w:tcPr>
            <w:tcW w:w="3521" w:type="dxa"/>
            <w:gridSpan w:val="4"/>
            <w:vAlign w:val="center"/>
          </w:tcPr>
          <w:p w:rsidR="004A68EF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Procesos de PNs en la Américas: un análisis crítico a 5 años de la adopción del MAH </w:t>
            </w:r>
          </w:p>
        </w:tc>
      </w:tr>
      <w:tr w:rsidR="004A68EF" w:rsidRPr="00441239" w:rsidTr="00FC7793">
        <w:trPr>
          <w:trHeight w:val="398"/>
        </w:trPr>
        <w:tc>
          <w:tcPr>
            <w:tcW w:w="1242" w:type="dxa"/>
            <w:gridSpan w:val="2"/>
            <w:vAlign w:val="center"/>
            <w:hideMark/>
          </w:tcPr>
          <w:p w:rsidR="004A68EF" w:rsidRPr="00791153" w:rsidRDefault="00441239" w:rsidP="004A68EF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10 minutos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4A68EF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Ángela Leal 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fr-FR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fr-FR"/>
              </w:rPr>
              <w:t xml:space="preserve">Mesa Nacional de Diálogo, Guatemala </w:t>
            </w:r>
          </w:p>
        </w:tc>
        <w:tc>
          <w:tcPr>
            <w:tcW w:w="3521" w:type="dxa"/>
            <w:gridSpan w:val="4"/>
            <w:vAlign w:val="center"/>
          </w:tcPr>
          <w:p w:rsidR="004A68EF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El proceso de la Mesa Nacional de Dialogo </w:t>
            </w:r>
          </w:p>
        </w:tc>
      </w:tr>
      <w:tr w:rsidR="004A68EF" w:rsidRPr="00441239" w:rsidTr="00FC7793">
        <w:trPr>
          <w:trHeight w:val="398"/>
        </w:trPr>
        <w:tc>
          <w:tcPr>
            <w:tcW w:w="1242" w:type="dxa"/>
            <w:gridSpan w:val="2"/>
            <w:vAlign w:val="center"/>
            <w:hideMark/>
          </w:tcPr>
          <w:p w:rsidR="004A68EF" w:rsidRPr="00791153" w:rsidRDefault="00441239" w:rsidP="004A68EF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10 minutos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Gladys Cardozo </w:t>
            </w:r>
          </w:p>
        </w:tc>
        <w:tc>
          <w:tcPr>
            <w:tcW w:w="1984" w:type="dxa"/>
            <w:gridSpan w:val="3"/>
            <w:vAlign w:val="center"/>
          </w:tcPr>
          <w:p w:rsidR="00701B1A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S</w:t>
            </w:r>
            <w:r w:rsid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ecretarí</w:t>
            </w: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a  Nacional de Emergencias, Paraguay </w:t>
            </w:r>
          </w:p>
        </w:tc>
        <w:tc>
          <w:tcPr>
            <w:tcW w:w="3521" w:type="dxa"/>
            <w:gridSpan w:val="4"/>
            <w:vAlign w:val="center"/>
          </w:tcPr>
          <w:p w:rsidR="004A68EF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Consolidación de una agenda de RRD en Paraguay </w:t>
            </w:r>
          </w:p>
        </w:tc>
      </w:tr>
      <w:tr w:rsidR="004A68EF" w:rsidRPr="00441239" w:rsidTr="00FC7793">
        <w:trPr>
          <w:trHeight w:val="642"/>
        </w:trPr>
        <w:tc>
          <w:tcPr>
            <w:tcW w:w="1242" w:type="dxa"/>
            <w:gridSpan w:val="2"/>
            <w:vAlign w:val="center"/>
            <w:hideMark/>
          </w:tcPr>
          <w:p w:rsidR="004A68EF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10 minutos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n-US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n-US"/>
              </w:rPr>
              <w:t xml:space="preserve">Gustavo Leal </w:t>
            </w:r>
          </w:p>
        </w:tc>
        <w:tc>
          <w:tcPr>
            <w:tcW w:w="1984" w:type="dxa"/>
            <w:gridSpan w:val="3"/>
            <w:vAlign w:val="center"/>
          </w:tcPr>
          <w:p w:rsidR="004A68EF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Sistema  Nacional de Emergencias, Uruguay</w:t>
            </w:r>
          </w:p>
        </w:tc>
        <w:tc>
          <w:tcPr>
            <w:tcW w:w="3521" w:type="dxa"/>
            <w:gridSpan w:val="4"/>
            <w:vAlign w:val="center"/>
          </w:tcPr>
          <w:p w:rsidR="004A68EF" w:rsidRPr="00791153" w:rsidRDefault="00441239" w:rsidP="00441239">
            <w:pPr>
              <w:jc w:val="left"/>
              <w:rPr>
                <w:rFonts w:ascii="Garamond" w:hAnsi="Garamond" w:cs="Arial"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sz w:val="20"/>
                <w:szCs w:val="20"/>
                <w:lang w:val="es-MX"/>
              </w:rPr>
              <w:t>Rol de la Plataforma Nacional dentro del SINAE</w:t>
            </w:r>
          </w:p>
        </w:tc>
      </w:tr>
      <w:tr w:rsidR="00701B1A" w:rsidRPr="00441239" w:rsidTr="00FC7793">
        <w:trPr>
          <w:trHeight w:val="417"/>
        </w:trPr>
        <w:tc>
          <w:tcPr>
            <w:tcW w:w="1242" w:type="dxa"/>
            <w:gridSpan w:val="2"/>
            <w:vAlign w:val="center"/>
            <w:hideMark/>
          </w:tcPr>
          <w:p w:rsidR="00701B1A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10 minutos</w:t>
            </w:r>
          </w:p>
        </w:tc>
        <w:tc>
          <w:tcPr>
            <w:tcW w:w="1984" w:type="dxa"/>
            <w:gridSpan w:val="3"/>
            <w:vAlign w:val="center"/>
          </w:tcPr>
          <w:p w:rsidR="00701B1A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Jeannette Fernández </w:t>
            </w:r>
          </w:p>
        </w:tc>
        <w:tc>
          <w:tcPr>
            <w:tcW w:w="1984" w:type="dxa"/>
            <w:gridSpan w:val="3"/>
            <w:vAlign w:val="center"/>
          </w:tcPr>
          <w:p w:rsidR="00701B1A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</w:rPr>
              <w:t xml:space="preserve">PNUD- Ecuador </w:t>
            </w:r>
          </w:p>
        </w:tc>
        <w:tc>
          <w:tcPr>
            <w:tcW w:w="3521" w:type="dxa"/>
            <w:gridSpan w:val="4"/>
            <w:vAlign w:val="center"/>
          </w:tcPr>
          <w:p w:rsidR="00701B1A" w:rsidRPr="00791153" w:rsidRDefault="001D23C6" w:rsidP="004A68EF">
            <w:pPr>
              <w:jc w:val="left"/>
              <w:rPr>
                <w:rFonts w:ascii="Garamond" w:hAnsi="Garamond" w:cs="Arial"/>
                <w:sz w:val="20"/>
                <w:szCs w:val="20"/>
                <w:lang w:val="es-MX"/>
              </w:rPr>
            </w:pPr>
            <w:r>
              <w:rPr>
                <w:rFonts w:ascii="Garamond" w:hAnsi="Garamond" w:cs="Arial"/>
                <w:sz w:val="20"/>
                <w:szCs w:val="20"/>
                <w:lang w:val="es-MX"/>
              </w:rPr>
              <w:t>Institucionalización de la GdR desde la perspectiva de</w:t>
            </w:r>
            <w:r w:rsidR="00441239" w:rsidRPr="00791153">
              <w:rPr>
                <w:rFonts w:ascii="Garamond" w:hAnsi="Garamond" w:cs="Arial"/>
                <w:sz w:val="20"/>
                <w:szCs w:val="20"/>
                <w:lang w:val="es-MX"/>
              </w:rPr>
              <w:t xml:space="preserve"> PNUD</w:t>
            </w:r>
            <w:r>
              <w:rPr>
                <w:rFonts w:ascii="Garamond" w:hAnsi="Garamond" w:cs="Arial"/>
                <w:sz w:val="20"/>
                <w:szCs w:val="20"/>
                <w:lang w:val="es-MX"/>
              </w:rPr>
              <w:t xml:space="preserve"> (experiencia de Ecuador)</w:t>
            </w:r>
          </w:p>
        </w:tc>
      </w:tr>
      <w:tr w:rsidR="00701B1A" w:rsidRPr="00701B1A" w:rsidTr="001D23C6">
        <w:trPr>
          <w:trHeight w:val="879"/>
        </w:trPr>
        <w:tc>
          <w:tcPr>
            <w:tcW w:w="1242" w:type="dxa"/>
            <w:gridSpan w:val="2"/>
            <w:vAlign w:val="center"/>
            <w:hideMark/>
          </w:tcPr>
          <w:p w:rsidR="00441239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</w:p>
          <w:p w:rsidR="00441239" w:rsidRPr="00791153" w:rsidRDefault="00FC7793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100 </w:t>
            </w:r>
            <w:r w:rsidR="00441239"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minutos</w:t>
            </w:r>
          </w:p>
          <w:p w:rsidR="00441239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01B1A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Plenaria </w:t>
            </w:r>
          </w:p>
        </w:tc>
        <w:tc>
          <w:tcPr>
            <w:tcW w:w="1984" w:type="dxa"/>
            <w:gridSpan w:val="3"/>
            <w:vAlign w:val="center"/>
          </w:tcPr>
          <w:p w:rsidR="00701B1A" w:rsidRPr="00791153" w:rsidRDefault="00791153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(</w:t>
            </w:r>
            <w:r w:rsidR="00441239"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Moderada por Nelson Castaño</w:t>
            </w:r>
            <w:r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)</w:t>
            </w:r>
            <w:r w:rsidR="00441239"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521" w:type="dxa"/>
            <w:gridSpan w:val="4"/>
            <w:vAlign w:val="center"/>
          </w:tcPr>
          <w:p w:rsidR="00701B1A" w:rsidRPr="00791153" w:rsidRDefault="00791153" w:rsidP="004A68EF">
            <w:pPr>
              <w:jc w:val="left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T</w:t>
            </w:r>
            <w:r w:rsidR="00441239" w:rsidRPr="00791153">
              <w:rPr>
                <w:rFonts w:ascii="Garamond" w:hAnsi="Garamond" w:cs="Arial"/>
                <w:sz w:val="20"/>
                <w:szCs w:val="20"/>
              </w:rPr>
              <w:t>areas prioritarias para las PNs en la región</w:t>
            </w:r>
          </w:p>
        </w:tc>
      </w:tr>
      <w:tr w:rsidR="00441239" w:rsidRPr="00701B1A" w:rsidTr="00FC7793">
        <w:trPr>
          <w:trHeight w:val="423"/>
        </w:trPr>
        <w:tc>
          <w:tcPr>
            <w:tcW w:w="1242" w:type="dxa"/>
            <w:gridSpan w:val="2"/>
            <w:vAlign w:val="center"/>
            <w:hideMark/>
          </w:tcPr>
          <w:p w:rsidR="00441239" w:rsidRPr="00791153" w:rsidRDefault="00441239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15 minutos </w:t>
            </w:r>
          </w:p>
        </w:tc>
        <w:tc>
          <w:tcPr>
            <w:tcW w:w="1984" w:type="dxa"/>
            <w:gridSpan w:val="3"/>
            <w:vAlign w:val="center"/>
          </w:tcPr>
          <w:p w:rsidR="00441239" w:rsidRPr="00791153" w:rsidRDefault="00441239" w:rsidP="00701B1A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 xml:space="preserve">Conclusiones </w:t>
            </w:r>
          </w:p>
        </w:tc>
        <w:tc>
          <w:tcPr>
            <w:tcW w:w="1984" w:type="dxa"/>
            <w:gridSpan w:val="3"/>
            <w:vAlign w:val="center"/>
          </w:tcPr>
          <w:p w:rsidR="00441239" w:rsidRPr="00791153" w:rsidRDefault="00791153" w:rsidP="004F6694">
            <w:pPr>
              <w:jc w:val="left"/>
              <w:rPr>
                <w:rFonts w:ascii="Garamond" w:hAnsi="Garamond" w:cs="Arial"/>
                <w:bCs/>
                <w:sz w:val="20"/>
                <w:szCs w:val="20"/>
                <w:lang w:val="es-MX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(</w:t>
            </w:r>
            <w:r w:rsidR="00441239" w:rsidRPr="00791153"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Conducida por la relatora Jessica Solano</w:t>
            </w:r>
            <w:r>
              <w:rPr>
                <w:rFonts w:ascii="Garamond" w:hAnsi="Garamond" w:cs="Arial"/>
                <w:bCs/>
                <w:sz w:val="20"/>
                <w:szCs w:val="20"/>
                <w:lang w:val="es-MX"/>
              </w:rPr>
              <w:t>)</w:t>
            </w:r>
          </w:p>
        </w:tc>
        <w:tc>
          <w:tcPr>
            <w:tcW w:w="3521" w:type="dxa"/>
            <w:gridSpan w:val="4"/>
            <w:vAlign w:val="center"/>
          </w:tcPr>
          <w:p w:rsidR="00441239" w:rsidRPr="00791153" w:rsidRDefault="00791153" w:rsidP="00791153">
            <w:pPr>
              <w:jc w:val="left"/>
              <w:rPr>
                <w:rFonts w:ascii="Garamond" w:hAnsi="Garamond" w:cs="Arial"/>
                <w:sz w:val="20"/>
                <w:szCs w:val="20"/>
                <w:lang w:val="es-MX"/>
              </w:rPr>
            </w:pPr>
            <w:r>
              <w:rPr>
                <w:rFonts w:ascii="Garamond" w:hAnsi="Garamond" w:cs="Arial"/>
                <w:sz w:val="20"/>
                <w:szCs w:val="20"/>
                <w:lang w:val="es-MX"/>
              </w:rPr>
              <w:t>A</w:t>
            </w:r>
            <w:r w:rsidR="00441239" w:rsidRPr="00791153">
              <w:rPr>
                <w:rFonts w:ascii="Garamond" w:hAnsi="Garamond" w:cs="Arial"/>
                <w:sz w:val="20"/>
                <w:szCs w:val="20"/>
                <w:lang w:val="es-MX"/>
              </w:rPr>
              <w:t xml:space="preserve">cciones prioritarias para las PNs hasta el 2015. </w:t>
            </w:r>
          </w:p>
        </w:tc>
      </w:tr>
    </w:tbl>
    <w:p w:rsidR="00441239" w:rsidRDefault="00441239" w:rsidP="009C4B78">
      <w:pPr>
        <w:rPr>
          <w:b/>
          <w:sz w:val="18"/>
          <w:szCs w:val="18"/>
          <w:lang w:val="es-PA"/>
        </w:rPr>
      </w:pPr>
    </w:p>
    <w:p w:rsidR="009C4B78" w:rsidRPr="009C4B78" w:rsidRDefault="009C4B78" w:rsidP="009C4B78">
      <w:pPr>
        <w:rPr>
          <w:b/>
          <w:sz w:val="18"/>
          <w:szCs w:val="18"/>
          <w:lang w:val="es-PA"/>
        </w:rPr>
      </w:pPr>
      <w:r w:rsidRPr="009C4B78">
        <w:rPr>
          <w:b/>
          <w:sz w:val="18"/>
          <w:szCs w:val="18"/>
          <w:lang w:val="es-PA"/>
        </w:rPr>
        <w:lastRenderedPageBreak/>
        <w:t xml:space="preserve">Productos: </w:t>
      </w:r>
    </w:p>
    <w:p w:rsidR="009C4B78" w:rsidRDefault="009C4B78" w:rsidP="009C4B78">
      <w:pPr>
        <w:pStyle w:val="Prrafodelista"/>
        <w:numPr>
          <w:ilvl w:val="0"/>
          <w:numId w:val="23"/>
        </w:numPr>
        <w:spacing w:before="240" w:after="240"/>
        <w:rPr>
          <w:sz w:val="18"/>
          <w:szCs w:val="18"/>
        </w:rPr>
      </w:pPr>
      <w:r w:rsidRPr="009C4B78">
        <w:rPr>
          <w:sz w:val="18"/>
          <w:szCs w:val="18"/>
        </w:rPr>
        <w:t>La ficha resumen de la sesión, que será entregada por la Organización Coordinadora/Responsable a la persona a ser designada por la EIRD para este fin (Anexo 1).</w:t>
      </w:r>
    </w:p>
    <w:p w:rsidR="009C4B78" w:rsidRPr="009C4B78" w:rsidRDefault="009C4B78" w:rsidP="009C4B78">
      <w:pPr>
        <w:pStyle w:val="Prrafodelista"/>
        <w:spacing w:before="240" w:after="240"/>
        <w:rPr>
          <w:sz w:val="18"/>
          <w:szCs w:val="18"/>
        </w:rPr>
      </w:pPr>
    </w:p>
    <w:p w:rsidR="00451584" w:rsidRPr="00441239" w:rsidRDefault="009C4B78" w:rsidP="00441239">
      <w:pPr>
        <w:pStyle w:val="Prrafodelista"/>
        <w:numPr>
          <w:ilvl w:val="0"/>
          <w:numId w:val="23"/>
        </w:numPr>
        <w:spacing w:before="240" w:after="240"/>
        <w:rPr>
          <w:sz w:val="18"/>
          <w:szCs w:val="18"/>
        </w:rPr>
      </w:pPr>
      <w:r w:rsidRPr="009C4B78">
        <w:rPr>
          <w:sz w:val="18"/>
          <w:szCs w:val="18"/>
        </w:rPr>
        <w:t xml:space="preserve">Conclusiones y recomendaciones a presentarse en el formato de power point  a ser provisto a los grupos </w:t>
      </w:r>
      <w:r>
        <w:rPr>
          <w:sz w:val="18"/>
          <w:szCs w:val="18"/>
        </w:rPr>
        <w:t>para la plenaria</w:t>
      </w:r>
      <w:r w:rsidRPr="009C4B78">
        <w:rPr>
          <w:sz w:val="18"/>
          <w:szCs w:val="18"/>
        </w:rPr>
        <w:t xml:space="preserve"> </w:t>
      </w:r>
      <w:r>
        <w:rPr>
          <w:sz w:val="18"/>
          <w:szCs w:val="18"/>
        </w:rPr>
        <w:t>(archivo anexo).</w:t>
      </w:r>
    </w:p>
    <w:p w:rsidR="009C4B78" w:rsidRDefault="009C4B78" w:rsidP="009D3026">
      <w:pPr>
        <w:rPr>
          <w:b/>
          <w:sz w:val="18"/>
          <w:szCs w:val="18"/>
          <w:lang w:val="es-PA"/>
        </w:rPr>
      </w:pPr>
      <w:r w:rsidRPr="009D3026">
        <w:rPr>
          <w:b/>
          <w:sz w:val="18"/>
          <w:szCs w:val="18"/>
          <w:lang w:val="es-PA"/>
        </w:rPr>
        <w:t>Anexo 1: Ficha resumen de la sesión</w:t>
      </w:r>
    </w:p>
    <w:p w:rsidR="009D3026" w:rsidRPr="009D3026" w:rsidRDefault="009D3026" w:rsidP="009D3026">
      <w:pPr>
        <w:rPr>
          <w:b/>
          <w:sz w:val="18"/>
          <w:szCs w:val="18"/>
          <w:lang w:val="es-PA"/>
        </w:rPr>
      </w:pPr>
    </w:p>
    <w:tbl>
      <w:tblPr>
        <w:tblW w:w="8789" w:type="dxa"/>
        <w:tblInd w:w="-72" w:type="dxa"/>
        <w:tblBorders>
          <w:top w:val="dotted" w:sz="4" w:space="0" w:color="365F91" w:themeColor="accent1" w:themeShade="BF"/>
          <w:left w:val="dotted" w:sz="4" w:space="0" w:color="365F91" w:themeColor="accent1" w:themeShade="BF"/>
          <w:bottom w:val="dotted" w:sz="4" w:space="0" w:color="365F91" w:themeColor="accent1" w:themeShade="BF"/>
          <w:right w:val="dotted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CellMar>
          <w:left w:w="70" w:type="dxa"/>
          <w:right w:w="70" w:type="dxa"/>
        </w:tblCellMar>
        <w:tblLook w:val="0000"/>
      </w:tblPr>
      <w:tblGrid>
        <w:gridCol w:w="1721"/>
        <w:gridCol w:w="1426"/>
        <w:gridCol w:w="1425"/>
        <w:gridCol w:w="1524"/>
        <w:gridCol w:w="1417"/>
        <w:gridCol w:w="1276"/>
      </w:tblGrid>
      <w:tr w:rsidR="00126A70" w:rsidRPr="00126A70" w:rsidTr="00126A70">
        <w:trPr>
          <w:trHeight w:val="288"/>
          <w:tblHeader/>
        </w:trPr>
        <w:tc>
          <w:tcPr>
            <w:tcW w:w="8789" w:type="dxa"/>
            <w:gridSpan w:val="6"/>
            <w:shd w:val="clear" w:color="auto" w:fill="365F91" w:themeFill="accent1" w:themeFillShade="BF"/>
            <w:noWrap/>
            <w:vAlign w:val="center"/>
          </w:tcPr>
          <w:p w:rsidR="00126A70" w:rsidRPr="00126A70" w:rsidRDefault="00126A70" w:rsidP="00126A7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4"/>
                <w:szCs w:val="24"/>
              </w:rPr>
              <w:t>Ficha resumen de la sesión</w:t>
            </w:r>
          </w:p>
        </w:tc>
      </w:tr>
      <w:tr w:rsidR="009C4B78" w:rsidRPr="00126A70" w:rsidTr="00126A70">
        <w:trPr>
          <w:trHeight w:val="288"/>
          <w:tblHeader/>
        </w:trPr>
        <w:tc>
          <w:tcPr>
            <w:tcW w:w="1721" w:type="dxa"/>
            <w:shd w:val="clear" w:color="auto" w:fill="365F91" w:themeFill="accent1" w:themeFillShade="BF"/>
            <w:noWrap/>
            <w:vAlign w:val="center"/>
          </w:tcPr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Nivel de</w:t>
            </w:r>
          </w:p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Actuación</w:t>
            </w:r>
          </w:p>
        </w:tc>
        <w:tc>
          <w:tcPr>
            <w:tcW w:w="1426" w:type="dxa"/>
            <w:shd w:val="clear" w:color="auto" w:fill="365F91" w:themeFill="accent1" w:themeFillShade="BF"/>
            <w:noWrap/>
            <w:vAlign w:val="center"/>
          </w:tcPr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Factores Críticos</w:t>
            </w:r>
          </w:p>
        </w:tc>
        <w:tc>
          <w:tcPr>
            <w:tcW w:w="1425" w:type="dxa"/>
            <w:shd w:val="clear" w:color="auto" w:fill="365F91" w:themeFill="accent1" w:themeFillShade="BF"/>
            <w:noWrap/>
            <w:vAlign w:val="center"/>
          </w:tcPr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Acciones Prioritarias</w:t>
            </w:r>
          </w:p>
        </w:tc>
        <w:tc>
          <w:tcPr>
            <w:tcW w:w="1524" w:type="dxa"/>
            <w:shd w:val="clear" w:color="auto" w:fill="365F91" w:themeFill="accent1" w:themeFillShade="BF"/>
            <w:noWrap/>
            <w:vAlign w:val="center"/>
          </w:tcPr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Resultados Esperados</w:t>
            </w:r>
          </w:p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2011 / 2015</w:t>
            </w:r>
          </w:p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(por acción)</w:t>
            </w:r>
          </w:p>
        </w:tc>
        <w:tc>
          <w:tcPr>
            <w:tcW w:w="1417" w:type="dxa"/>
            <w:shd w:val="clear" w:color="auto" w:fill="365F91" w:themeFill="accent1" w:themeFillShade="BF"/>
            <w:noWrap/>
            <w:vAlign w:val="center"/>
          </w:tcPr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 xml:space="preserve">Actores </w:t>
            </w:r>
          </w:p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y</w:t>
            </w:r>
          </w:p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Agencias Clave</w:t>
            </w:r>
          </w:p>
        </w:tc>
        <w:tc>
          <w:tcPr>
            <w:tcW w:w="1276" w:type="dxa"/>
            <w:shd w:val="clear" w:color="auto" w:fill="365F91" w:themeFill="accent1" w:themeFillShade="BF"/>
            <w:noWrap/>
            <w:vAlign w:val="center"/>
          </w:tcPr>
          <w:p w:rsidR="009C4B78" w:rsidRPr="00126A70" w:rsidRDefault="009C4B78" w:rsidP="00D84D9F">
            <w:pPr>
              <w:jc w:val="left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Experiencias Exitosas</w:t>
            </w:r>
          </w:p>
          <w:p w:rsidR="009C4B78" w:rsidRPr="00126A70" w:rsidRDefault="009C4B78" w:rsidP="00D84D9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6A70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Buenas Prácticas</w:t>
            </w:r>
          </w:p>
        </w:tc>
      </w:tr>
      <w:tr w:rsidR="009C4B78" w:rsidRPr="009C4B78" w:rsidTr="00126A70">
        <w:trPr>
          <w:trHeight w:val="288"/>
        </w:trPr>
        <w:tc>
          <w:tcPr>
            <w:tcW w:w="1721" w:type="dxa"/>
            <w:vMerge w:val="restart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Regional/</w:t>
            </w:r>
          </w:p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Subregional</w:t>
            </w:r>
          </w:p>
        </w:tc>
        <w:tc>
          <w:tcPr>
            <w:tcW w:w="1426" w:type="dxa"/>
            <w:vMerge w:val="restart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304" w:hanging="304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241"/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vMerge w:val="restart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9C4B78" w:rsidRPr="009C4B78" w:rsidRDefault="009C4B78" w:rsidP="00D84D9F">
            <w:pPr>
              <w:jc w:val="center"/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 </w:t>
            </w:r>
          </w:p>
        </w:tc>
      </w:tr>
      <w:tr w:rsidR="009C4B78" w:rsidRPr="009C4B78" w:rsidTr="00126A70">
        <w:trPr>
          <w:trHeight w:val="258"/>
        </w:trPr>
        <w:tc>
          <w:tcPr>
            <w:tcW w:w="1721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9C4B78" w:rsidRPr="009C4B78" w:rsidRDefault="009C4B78" w:rsidP="00D84D9F">
            <w:pPr>
              <w:ind w:left="304" w:hanging="304"/>
              <w:jc w:val="left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B78" w:rsidRPr="009C4B78" w:rsidRDefault="009C4B78" w:rsidP="00D84D9F">
            <w:pPr>
              <w:ind w:left="117" w:hanging="117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B78" w:rsidRPr="009C4B78" w:rsidRDefault="009C4B78" w:rsidP="00D84D9F">
            <w:pPr>
              <w:rPr>
                <w:sz w:val="18"/>
                <w:szCs w:val="18"/>
              </w:rPr>
            </w:pPr>
          </w:p>
        </w:tc>
      </w:tr>
      <w:tr w:rsidR="009C4B78" w:rsidRPr="009C4B78" w:rsidTr="00126A70">
        <w:trPr>
          <w:trHeight w:val="258"/>
        </w:trPr>
        <w:tc>
          <w:tcPr>
            <w:tcW w:w="1721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9C4B78" w:rsidRPr="009C4B78" w:rsidRDefault="009C4B78" w:rsidP="00D84D9F">
            <w:pPr>
              <w:ind w:left="304" w:hanging="304"/>
              <w:jc w:val="left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B78" w:rsidRPr="009C4B78" w:rsidRDefault="009C4B78" w:rsidP="00D84D9F">
            <w:pPr>
              <w:ind w:left="117" w:hanging="117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B78" w:rsidRPr="009C4B78" w:rsidRDefault="009C4B78" w:rsidP="00D84D9F">
            <w:pPr>
              <w:rPr>
                <w:sz w:val="18"/>
                <w:szCs w:val="18"/>
              </w:rPr>
            </w:pPr>
          </w:p>
        </w:tc>
      </w:tr>
      <w:tr w:rsidR="009C4B78" w:rsidRPr="009C4B78" w:rsidTr="00126A70">
        <w:trPr>
          <w:trHeight w:val="258"/>
        </w:trPr>
        <w:tc>
          <w:tcPr>
            <w:tcW w:w="1721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9C4B78" w:rsidRPr="009C4B78" w:rsidRDefault="009C4B78" w:rsidP="00D84D9F">
            <w:pPr>
              <w:ind w:left="304" w:hanging="304"/>
              <w:jc w:val="left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B78" w:rsidRPr="009C4B78" w:rsidRDefault="009C4B78" w:rsidP="00D84D9F">
            <w:pPr>
              <w:ind w:left="117" w:hanging="117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B78" w:rsidRPr="009C4B78" w:rsidRDefault="009C4B78" w:rsidP="00D84D9F">
            <w:pPr>
              <w:rPr>
                <w:sz w:val="18"/>
                <w:szCs w:val="18"/>
              </w:rPr>
            </w:pPr>
          </w:p>
        </w:tc>
      </w:tr>
      <w:tr w:rsidR="009C4B78" w:rsidRPr="009C4B78" w:rsidTr="00126A70">
        <w:trPr>
          <w:trHeight w:val="217"/>
        </w:trPr>
        <w:tc>
          <w:tcPr>
            <w:tcW w:w="1721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9C4B78" w:rsidRPr="009C4B78" w:rsidRDefault="009C4B78" w:rsidP="00D84D9F">
            <w:pPr>
              <w:ind w:left="304" w:hanging="304"/>
              <w:jc w:val="left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B78" w:rsidRPr="009C4B78" w:rsidRDefault="009C4B78" w:rsidP="00D84D9F">
            <w:pPr>
              <w:ind w:left="117" w:hanging="117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B78" w:rsidRPr="009C4B78" w:rsidRDefault="009C4B78" w:rsidP="00D84D9F">
            <w:pPr>
              <w:rPr>
                <w:sz w:val="18"/>
                <w:szCs w:val="18"/>
              </w:rPr>
            </w:pPr>
          </w:p>
        </w:tc>
      </w:tr>
      <w:tr w:rsidR="009C4B78" w:rsidRPr="009C4B78" w:rsidTr="00126A70">
        <w:trPr>
          <w:trHeight w:val="1258"/>
        </w:trPr>
        <w:tc>
          <w:tcPr>
            <w:tcW w:w="1721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Nacional</w:t>
            </w:r>
          </w:p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/Subnacional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304"/>
              <w:jc w:val="left"/>
              <w:rPr>
                <w:b/>
                <w:sz w:val="18"/>
                <w:szCs w:val="18"/>
              </w:rPr>
            </w:pPr>
          </w:p>
          <w:p w:rsidR="009C4B78" w:rsidRPr="009C4B78" w:rsidRDefault="009C4B78" w:rsidP="00D84D9F">
            <w:pPr>
              <w:ind w:left="304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241"/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117" w:hanging="117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C4B78" w:rsidRPr="009C4B78" w:rsidRDefault="009C4B78" w:rsidP="00D84D9F">
            <w:pPr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 </w:t>
            </w:r>
          </w:p>
        </w:tc>
      </w:tr>
      <w:tr w:rsidR="009C4B78" w:rsidRPr="009C4B78" w:rsidTr="00126A70">
        <w:trPr>
          <w:trHeight w:val="1433"/>
        </w:trPr>
        <w:tc>
          <w:tcPr>
            <w:tcW w:w="1721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Local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298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C4B78" w:rsidRPr="009C4B78" w:rsidRDefault="009C4B78" w:rsidP="00D84D9F">
            <w:pPr>
              <w:ind w:left="117" w:hanging="117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C4B78" w:rsidRPr="009C4B78" w:rsidRDefault="009C4B78" w:rsidP="00D84D9F">
            <w:pPr>
              <w:rPr>
                <w:sz w:val="18"/>
                <w:szCs w:val="18"/>
              </w:rPr>
            </w:pPr>
            <w:r w:rsidRPr="009C4B78">
              <w:rPr>
                <w:sz w:val="18"/>
                <w:szCs w:val="18"/>
              </w:rPr>
              <w:t> </w:t>
            </w:r>
          </w:p>
        </w:tc>
      </w:tr>
    </w:tbl>
    <w:p w:rsidR="00F35459" w:rsidRDefault="00F35459">
      <w:pPr>
        <w:rPr>
          <w:lang w:val="es-PA"/>
        </w:rPr>
      </w:pPr>
    </w:p>
    <w:p w:rsidR="00F35459" w:rsidRDefault="00F35459">
      <w:pPr>
        <w:rPr>
          <w:lang w:val="es-PA"/>
        </w:rPr>
      </w:pPr>
    </w:p>
    <w:p w:rsidR="00275E5A" w:rsidRDefault="00275E5A">
      <w:pPr>
        <w:rPr>
          <w:lang w:val="es-PA"/>
        </w:rPr>
      </w:pPr>
    </w:p>
    <w:sectPr w:rsidR="00275E5A" w:rsidSect="00126A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dotted" w:sz="4" w:space="24" w:color="365F91" w:themeColor="accent1" w:themeShade="BF"/>
        <w:left w:val="dotted" w:sz="4" w:space="24" w:color="365F91" w:themeColor="accent1" w:themeShade="BF"/>
        <w:bottom w:val="dotted" w:sz="4" w:space="24" w:color="365F91" w:themeColor="accent1" w:themeShade="BF"/>
        <w:right w:val="dotted" w:sz="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45" w:rsidRDefault="00671145" w:rsidP="00457FE3">
      <w:r>
        <w:separator/>
      </w:r>
    </w:p>
  </w:endnote>
  <w:endnote w:type="continuationSeparator" w:id="1">
    <w:p w:rsidR="00671145" w:rsidRDefault="00671145" w:rsidP="00457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079963"/>
      <w:docPartObj>
        <w:docPartGallery w:val="Page Numbers (Bottom of Page)"/>
        <w:docPartUnique/>
      </w:docPartObj>
    </w:sdtPr>
    <w:sdtContent>
      <w:p w:rsidR="00D84D9F" w:rsidRDefault="00325676">
        <w:pPr>
          <w:pStyle w:val="Piedepgina"/>
        </w:pPr>
        <w:r w:rsidRPr="00325676">
          <w:rPr>
            <w:noProof/>
            <w:lang w:eastAsia="zh-TW"/>
          </w:rPr>
          <w:pict>
            <v:group id="_x0000_s2049" style="position:absolute;left:0;text-align:left;margin-left:-98.0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D84D9F" w:rsidRDefault="00325676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1D23C6" w:rsidRPr="001D23C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45" w:rsidRDefault="00671145" w:rsidP="00457FE3">
      <w:r>
        <w:separator/>
      </w:r>
    </w:p>
  </w:footnote>
  <w:footnote w:type="continuationSeparator" w:id="1">
    <w:p w:rsidR="00671145" w:rsidRDefault="00671145" w:rsidP="00457FE3">
      <w:r>
        <w:continuationSeparator/>
      </w:r>
    </w:p>
  </w:footnote>
  <w:footnote w:id="2">
    <w:p w:rsidR="00441239" w:rsidRDefault="00441239" w:rsidP="00441239">
      <w:pPr>
        <w:pStyle w:val="Textonotapie"/>
      </w:pPr>
      <w:r>
        <w:rPr>
          <w:rStyle w:val="Refdenotaalpie"/>
        </w:rPr>
        <w:footnoteRef/>
      </w:r>
      <w:r>
        <w:t xml:space="preserve">Se encontrarán a disposición de los participantes ejemplares en español e inglés de este estudio comisionado por la UNISDR y la FIRC (en formato digital).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9F" w:rsidRDefault="00D84D9F" w:rsidP="00457FE3">
    <w:pPr>
      <w:pStyle w:val="Encabezado"/>
      <w:ind w:left="-142"/>
    </w:pPr>
    <w:r w:rsidRPr="00457FE3">
      <w:rPr>
        <w:noProof/>
        <w:lang w:val="es-MX" w:eastAsia="es-MX"/>
      </w:rPr>
      <w:drawing>
        <wp:inline distT="0" distB="0" distL="0" distR="0">
          <wp:extent cx="5533187" cy="1094636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1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1680" cy="1094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E97"/>
    <w:multiLevelType w:val="multilevel"/>
    <w:tmpl w:val="EC8EB0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92333B"/>
    <w:multiLevelType w:val="hybridMultilevel"/>
    <w:tmpl w:val="36A0EBE6"/>
    <w:lvl w:ilvl="0" w:tplc="2A5A3D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8665D"/>
    <w:multiLevelType w:val="hybridMultilevel"/>
    <w:tmpl w:val="5E42A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01651"/>
    <w:multiLevelType w:val="hybridMultilevel"/>
    <w:tmpl w:val="C66E12E2"/>
    <w:lvl w:ilvl="0" w:tplc="2A5A3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D706E"/>
    <w:multiLevelType w:val="hybridMultilevel"/>
    <w:tmpl w:val="25DE32BE"/>
    <w:lvl w:ilvl="0" w:tplc="33E6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95767"/>
    <w:multiLevelType w:val="multilevel"/>
    <w:tmpl w:val="86087E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F2249C"/>
    <w:multiLevelType w:val="hybridMultilevel"/>
    <w:tmpl w:val="49EE90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803D0"/>
    <w:multiLevelType w:val="hybridMultilevel"/>
    <w:tmpl w:val="EC52A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8272C"/>
    <w:multiLevelType w:val="hybridMultilevel"/>
    <w:tmpl w:val="05366206"/>
    <w:lvl w:ilvl="0" w:tplc="2A5A3D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A01CEB"/>
    <w:multiLevelType w:val="hybridMultilevel"/>
    <w:tmpl w:val="27AE8218"/>
    <w:lvl w:ilvl="0" w:tplc="BB4251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66C8D"/>
    <w:multiLevelType w:val="hybridMultilevel"/>
    <w:tmpl w:val="7AA0C120"/>
    <w:lvl w:ilvl="0" w:tplc="2A5A3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C52F3"/>
    <w:multiLevelType w:val="hybridMultilevel"/>
    <w:tmpl w:val="D1A083D4"/>
    <w:lvl w:ilvl="0" w:tplc="BB4251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03B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9ADA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888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65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607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EE4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C2B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250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352975"/>
    <w:multiLevelType w:val="hybridMultilevel"/>
    <w:tmpl w:val="4C364AD2"/>
    <w:lvl w:ilvl="0" w:tplc="E8EE736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C4CE8C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C5F97"/>
    <w:multiLevelType w:val="hybridMultilevel"/>
    <w:tmpl w:val="4B383178"/>
    <w:lvl w:ilvl="0" w:tplc="37343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43C98"/>
    <w:multiLevelType w:val="hybridMultilevel"/>
    <w:tmpl w:val="8766C800"/>
    <w:lvl w:ilvl="0" w:tplc="0C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>
    <w:nsid w:val="4F1633BE"/>
    <w:multiLevelType w:val="hybridMultilevel"/>
    <w:tmpl w:val="875EA118"/>
    <w:lvl w:ilvl="0" w:tplc="2A5A3D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C421076"/>
    <w:multiLevelType w:val="hybridMultilevel"/>
    <w:tmpl w:val="55367D44"/>
    <w:lvl w:ilvl="0" w:tplc="2A5A3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E57D7"/>
    <w:multiLevelType w:val="hybridMultilevel"/>
    <w:tmpl w:val="1458BC6E"/>
    <w:lvl w:ilvl="0" w:tplc="2A5A3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D05A6"/>
    <w:multiLevelType w:val="hybridMultilevel"/>
    <w:tmpl w:val="E53E3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F1C69"/>
    <w:multiLevelType w:val="hybridMultilevel"/>
    <w:tmpl w:val="423A2BAC"/>
    <w:lvl w:ilvl="0" w:tplc="2A5A3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1317A"/>
    <w:multiLevelType w:val="hybridMultilevel"/>
    <w:tmpl w:val="927E9110"/>
    <w:lvl w:ilvl="0" w:tplc="2A5A3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060A"/>
    <w:multiLevelType w:val="hybridMultilevel"/>
    <w:tmpl w:val="B8E8391A"/>
    <w:lvl w:ilvl="0" w:tplc="2A5A3D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6712CB"/>
    <w:multiLevelType w:val="hybridMultilevel"/>
    <w:tmpl w:val="D97C21CC"/>
    <w:lvl w:ilvl="0" w:tplc="440E5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5"/>
  </w:num>
  <w:num w:numId="7">
    <w:abstractNumId w:val="16"/>
  </w:num>
  <w:num w:numId="8">
    <w:abstractNumId w:val="3"/>
  </w:num>
  <w:num w:numId="9">
    <w:abstractNumId w:val="19"/>
  </w:num>
  <w:num w:numId="10">
    <w:abstractNumId w:val="21"/>
  </w:num>
  <w:num w:numId="11">
    <w:abstractNumId w:val="1"/>
  </w:num>
  <w:num w:numId="12">
    <w:abstractNumId w:val="8"/>
  </w:num>
  <w:num w:numId="13">
    <w:abstractNumId w:val="15"/>
  </w:num>
  <w:num w:numId="14">
    <w:abstractNumId w:val="20"/>
  </w:num>
  <w:num w:numId="15">
    <w:abstractNumId w:val="17"/>
  </w:num>
  <w:num w:numId="16">
    <w:abstractNumId w:val="10"/>
  </w:num>
  <w:num w:numId="17">
    <w:abstractNumId w:val="22"/>
  </w:num>
  <w:num w:numId="18">
    <w:abstractNumId w:val="4"/>
  </w:num>
  <w:num w:numId="19">
    <w:abstractNumId w:val="14"/>
  </w:num>
  <w:num w:numId="20">
    <w:abstractNumId w:val="18"/>
  </w:num>
  <w:num w:numId="21">
    <w:abstractNumId w:val="6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945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B17BF"/>
    <w:rsid w:val="00022A4D"/>
    <w:rsid w:val="00050BEC"/>
    <w:rsid w:val="0007386D"/>
    <w:rsid w:val="00094908"/>
    <w:rsid w:val="000A4165"/>
    <w:rsid w:val="000D0A6C"/>
    <w:rsid w:val="000F54BB"/>
    <w:rsid w:val="000F5BC5"/>
    <w:rsid w:val="000F5DB1"/>
    <w:rsid w:val="00126A70"/>
    <w:rsid w:val="00131230"/>
    <w:rsid w:val="00180F18"/>
    <w:rsid w:val="00195F43"/>
    <w:rsid w:val="001B53CC"/>
    <w:rsid w:val="001D23C6"/>
    <w:rsid w:val="0027119A"/>
    <w:rsid w:val="002711EC"/>
    <w:rsid w:val="00275E5A"/>
    <w:rsid w:val="002F6429"/>
    <w:rsid w:val="0030024D"/>
    <w:rsid w:val="003005CD"/>
    <w:rsid w:val="00325676"/>
    <w:rsid w:val="00354AD9"/>
    <w:rsid w:val="003613E3"/>
    <w:rsid w:val="00373A43"/>
    <w:rsid w:val="00384043"/>
    <w:rsid w:val="003B17BF"/>
    <w:rsid w:val="003D1B92"/>
    <w:rsid w:val="003E3FC0"/>
    <w:rsid w:val="003E77EE"/>
    <w:rsid w:val="00437C89"/>
    <w:rsid w:val="00441239"/>
    <w:rsid w:val="00450A50"/>
    <w:rsid w:val="00451584"/>
    <w:rsid w:val="004525C2"/>
    <w:rsid w:val="00457FE3"/>
    <w:rsid w:val="00487BC4"/>
    <w:rsid w:val="004A0EFA"/>
    <w:rsid w:val="004A68EF"/>
    <w:rsid w:val="004A71AC"/>
    <w:rsid w:val="004F6694"/>
    <w:rsid w:val="00527B22"/>
    <w:rsid w:val="00533210"/>
    <w:rsid w:val="00541D04"/>
    <w:rsid w:val="005922E6"/>
    <w:rsid w:val="005B7CEA"/>
    <w:rsid w:val="005C2F23"/>
    <w:rsid w:val="005C521C"/>
    <w:rsid w:val="005D37DD"/>
    <w:rsid w:val="00633F83"/>
    <w:rsid w:val="006429AF"/>
    <w:rsid w:val="00651CFD"/>
    <w:rsid w:val="00671145"/>
    <w:rsid w:val="00680C8A"/>
    <w:rsid w:val="006A37E5"/>
    <w:rsid w:val="006B0CA4"/>
    <w:rsid w:val="006E6628"/>
    <w:rsid w:val="00701B1A"/>
    <w:rsid w:val="00722D96"/>
    <w:rsid w:val="007300C0"/>
    <w:rsid w:val="00733158"/>
    <w:rsid w:val="00765988"/>
    <w:rsid w:val="00790B69"/>
    <w:rsid w:val="00791153"/>
    <w:rsid w:val="00794DFC"/>
    <w:rsid w:val="007B4CEE"/>
    <w:rsid w:val="008264C8"/>
    <w:rsid w:val="00827681"/>
    <w:rsid w:val="008648A3"/>
    <w:rsid w:val="00871115"/>
    <w:rsid w:val="008859C1"/>
    <w:rsid w:val="009255F8"/>
    <w:rsid w:val="00962B28"/>
    <w:rsid w:val="00990F80"/>
    <w:rsid w:val="009C4B78"/>
    <w:rsid w:val="009D3026"/>
    <w:rsid w:val="00A14AB8"/>
    <w:rsid w:val="00A1773B"/>
    <w:rsid w:val="00A567F4"/>
    <w:rsid w:val="00A6046B"/>
    <w:rsid w:val="00A705FF"/>
    <w:rsid w:val="00AB07B0"/>
    <w:rsid w:val="00AC07FE"/>
    <w:rsid w:val="00AC75AE"/>
    <w:rsid w:val="00AD27D3"/>
    <w:rsid w:val="00AD5024"/>
    <w:rsid w:val="00AE4730"/>
    <w:rsid w:val="00B05BCF"/>
    <w:rsid w:val="00B227FE"/>
    <w:rsid w:val="00B33F97"/>
    <w:rsid w:val="00B4434B"/>
    <w:rsid w:val="00BB6D03"/>
    <w:rsid w:val="00BB74C7"/>
    <w:rsid w:val="00BE221D"/>
    <w:rsid w:val="00BE6EDB"/>
    <w:rsid w:val="00C37C8F"/>
    <w:rsid w:val="00C47646"/>
    <w:rsid w:val="00C62A7E"/>
    <w:rsid w:val="00C63042"/>
    <w:rsid w:val="00C73E3B"/>
    <w:rsid w:val="00CC42F9"/>
    <w:rsid w:val="00D2275E"/>
    <w:rsid w:val="00D25C11"/>
    <w:rsid w:val="00D77E05"/>
    <w:rsid w:val="00D84D9F"/>
    <w:rsid w:val="00D929E3"/>
    <w:rsid w:val="00DA1B87"/>
    <w:rsid w:val="00DE1CF0"/>
    <w:rsid w:val="00E22452"/>
    <w:rsid w:val="00E33798"/>
    <w:rsid w:val="00E35F4F"/>
    <w:rsid w:val="00E42C19"/>
    <w:rsid w:val="00E5515F"/>
    <w:rsid w:val="00EF51D6"/>
    <w:rsid w:val="00F04201"/>
    <w:rsid w:val="00F2485B"/>
    <w:rsid w:val="00F35459"/>
    <w:rsid w:val="00FC7793"/>
    <w:rsid w:val="00FD41B8"/>
    <w:rsid w:val="00FE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E5"/>
    <w:rPr>
      <w:rFonts w:ascii="Tahoma" w:hAnsi="Tahom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1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57FE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57F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7FE3"/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unhideWhenUsed/>
    <w:rsid w:val="00457F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FE3"/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FE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FE3"/>
    <w:rPr>
      <w:rFonts w:ascii="Tahoma" w:hAnsi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2F642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E5841"/>
    <w:rPr>
      <w:i/>
      <w:iCs/>
    </w:rPr>
  </w:style>
  <w:style w:type="paragraph" w:styleId="NormalWeb">
    <w:name w:val="Normal (Web)"/>
    <w:basedOn w:val="Normal"/>
    <w:uiPriority w:val="99"/>
    <w:unhideWhenUsed/>
    <w:rsid w:val="00BE6E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longtext">
    <w:name w:val="long_text"/>
    <w:basedOn w:val="Fuentedeprrafopredeter"/>
    <w:rsid w:val="000F54BB"/>
  </w:style>
  <w:style w:type="character" w:styleId="Textoennegrita">
    <w:name w:val="Strong"/>
    <w:basedOn w:val="Fuentedeprrafopredeter"/>
    <w:uiPriority w:val="99"/>
    <w:qFormat/>
    <w:rsid w:val="004A68EF"/>
    <w:rPr>
      <w:rFonts w:cs="Times New Roman"/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1239"/>
    <w:pPr>
      <w:jc w:val="left"/>
    </w:pPr>
    <w:rPr>
      <w:rFonts w:asciiTheme="minorHAnsi" w:hAnsiTheme="minorHAnsi" w:cstheme="minorBidi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1239"/>
    <w:rPr>
      <w:rFonts w:asciiTheme="minorHAnsi" w:hAnsiTheme="minorHAnsi" w:cstheme="minorBidi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412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 Santamaria Diaz</dc:creator>
  <cp:lastModifiedBy>Administrator</cp:lastModifiedBy>
  <cp:revision>8</cp:revision>
  <dcterms:created xsi:type="dcterms:W3CDTF">2011-03-12T00:52:00Z</dcterms:created>
  <dcterms:modified xsi:type="dcterms:W3CDTF">2011-03-12T01:09:00Z</dcterms:modified>
</cp:coreProperties>
</file>