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1C" w:rsidRDefault="0022141C" w:rsidP="009D3026">
      <w:pPr>
        <w:jc w:val="center"/>
        <w:rPr>
          <w:b/>
          <w:lang w:val="es-PA"/>
        </w:rPr>
      </w:pPr>
    </w:p>
    <w:p w:rsidR="009D3026" w:rsidRDefault="009D3026" w:rsidP="009D3026">
      <w:pPr>
        <w:jc w:val="center"/>
        <w:rPr>
          <w:b/>
          <w:lang w:val="es-PA"/>
        </w:rPr>
      </w:pPr>
      <w:r w:rsidRPr="009D3026">
        <w:rPr>
          <w:b/>
          <w:lang w:val="es-PA"/>
        </w:rPr>
        <w:t>FICHA DE LA</w:t>
      </w:r>
      <w:r w:rsidR="00D84D9F">
        <w:rPr>
          <w:b/>
          <w:lang w:val="es-PA"/>
        </w:rPr>
        <w:t>S</w:t>
      </w:r>
      <w:r w:rsidR="003E65AB">
        <w:rPr>
          <w:b/>
          <w:lang w:val="es-PA"/>
        </w:rPr>
        <w:t xml:space="preserve"> SESIO</w:t>
      </w:r>
      <w:r w:rsidRPr="009D3026">
        <w:rPr>
          <w:b/>
          <w:lang w:val="es-PA"/>
        </w:rPr>
        <w:t>N</w:t>
      </w:r>
      <w:r w:rsidR="003E65AB">
        <w:rPr>
          <w:b/>
          <w:lang w:val="es-PA"/>
        </w:rPr>
        <w:t>ES TEMA</w:t>
      </w:r>
      <w:r w:rsidR="00D84D9F">
        <w:rPr>
          <w:b/>
          <w:lang w:val="es-PA"/>
        </w:rPr>
        <w:t>TICAS Y PARALELAS</w:t>
      </w:r>
    </w:p>
    <w:p w:rsidR="0022141C" w:rsidRDefault="0022141C" w:rsidP="009D3026">
      <w:pPr>
        <w:jc w:val="center"/>
        <w:rPr>
          <w:b/>
          <w:lang w:val="es-PA"/>
        </w:rPr>
      </w:pPr>
    </w:p>
    <w:tbl>
      <w:tblPr>
        <w:tblStyle w:val="TableGrid"/>
        <w:tblW w:w="9360" w:type="dxa"/>
        <w:tblInd w:w="-162" w:type="dxa"/>
        <w:tblBorders>
          <w:top w:val="dotted" w:sz="4" w:space="0" w:color="365F91" w:themeColor="accent1" w:themeShade="BF"/>
          <w:left w:val="dotted" w:sz="4" w:space="0" w:color="365F91" w:themeColor="accent1" w:themeShade="BF"/>
          <w:bottom w:val="dotted" w:sz="4" w:space="0" w:color="365F91" w:themeColor="accent1" w:themeShade="BF"/>
          <w:right w:val="dotted" w:sz="4" w:space="0" w:color="365F91" w:themeColor="accent1" w:themeShade="BF"/>
          <w:insideH w:val="dotted" w:sz="4" w:space="0" w:color="365F91" w:themeColor="accent1" w:themeShade="BF"/>
          <w:insideV w:val="dotted" w:sz="4" w:space="0" w:color="365F91" w:themeColor="accent1" w:themeShade="BF"/>
        </w:tblBorders>
        <w:tblLayout w:type="fixed"/>
        <w:tblLook w:val="04A0"/>
      </w:tblPr>
      <w:tblGrid>
        <w:gridCol w:w="929"/>
        <w:gridCol w:w="151"/>
        <w:gridCol w:w="749"/>
        <w:gridCol w:w="854"/>
        <w:gridCol w:w="467"/>
        <w:gridCol w:w="805"/>
        <w:gridCol w:w="992"/>
        <w:gridCol w:w="723"/>
        <w:gridCol w:w="695"/>
        <w:gridCol w:w="1417"/>
        <w:gridCol w:w="1578"/>
      </w:tblGrid>
      <w:tr w:rsidR="003B17BF" w:rsidRPr="003B17BF" w:rsidTr="00774BAB">
        <w:trPr>
          <w:trHeight w:val="308"/>
        </w:trPr>
        <w:tc>
          <w:tcPr>
            <w:tcW w:w="9360" w:type="dxa"/>
            <w:gridSpan w:val="11"/>
            <w:shd w:val="clear" w:color="auto" w:fill="4F81BD" w:themeFill="accent1"/>
            <w:vAlign w:val="center"/>
            <w:hideMark/>
          </w:tcPr>
          <w:p w:rsidR="00457FE3" w:rsidRPr="004525C2" w:rsidRDefault="004A68EF" w:rsidP="0022141C">
            <w:pPr>
              <w:jc w:val="center"/>
              <w:rPr>
                <w:rFonts w:ascii="Arial Narrow" w:hAnsi="Arial Narrow" w:cs="Arial"/>
                <w:b/>
                <w:bCs/>
                <w:sz w:val="24"/>
                <w:szCs w:val="24"/>
              </w:rPr>
            </w:pPr>
            <w:r>
              <w:rPr>
                <w:rFonts w:ascii="Arial Narrow" w:hAnsi="Arial Narrow" w:cs="Arial"/>
                <w:b/>
                <w:bCs/>
                <w:color w:val="FFFFFF" w:themeColor="background1"/>
                <w:sz w:val="24"/>
                <w:szCs w:val="24"/>
              </w:rPr>
              <w:t xml:space="preserve">Sesión </w:t>
            </w:r>
            <w:r w:rsidR="0022141C">
              <w:rPr>
                <w:rFonts w:ascii="Arial Narrow" w:hAnsi="Arial Narrow" w:cs="Arial"/>
                <w:b/>
                <w:bCs/>
                <w:color w:val="FFFFFF" w:themeColor="background1"/>
                <w:sz w:val="24"/>
                <w:szCs w:val="24"/>
              </w:rPr>
              <w:t>Temática</w:t>
            </w:r>
            <w:r w:rsidR="003E65AB">
              <w:rPr>
                <w:rFonts w:ascii="Arial Narrow" w:hAnsi="Arial Narrow" w:cs="Arial"/>
                <w:b/>
                <w:bCs/>
                <w:color w:val="FFFFFF" w:themeColor="background1"/>
                <w:sz w:val="24"/>
                <w:szCs w:val="24"/>
              </w:rPr>
              <w:t>:</w:t>
            </w:r>
            <w:r>
              <w:rPr>
                <w:rFonts w:ascii="Arial Narrow" w:hAnsi="Arial Narrow" w:cs="Arial"/>
                <w:b/>
                <w:bCs/>
                <w:color w:val="FFFFFF"/>
                <w:sz w:val="24"/>
                <w:szCs w:val="24"/>
              </w:rPr>
              <w:t xml:space="preserve"> </w:t>
            </w:r>
            <w:r w:rsidR="0022141C" w:rsidRPr="0022141C">
              <w:rPr>
                <w:rFonts w:ascii="Arial Narrow" w:hAnsi="Arial Narrow" w:cs="Arial"/>
                <w:b/>
                <w:bCs/>
                <w:color w:val="FFFFFF"/>
                <w:sz w:val="24"/>
                <w:szCs w:val="24"/>
              </w:rPr>
              <w:t xml:space="preserve">Reducción de </w:t>
            </w:r>
            <w:r w:rsidR="00A62BF0">
              <w:rPr>
                <w:rFonts w:ascii="Arial Narrow" w:hAnsi="Arial Narrow" w:cs="Arial"/>
                <w:b/>
                <w:bCs/>
                <w:color w:val="FFFFFF"/>
                <w:sz w:val="24"/>
                <w:szCs w:val="24"/>
              </w:rPr>
              <w:t xml:space="preserve">Riesgo de Desastres </w:t>
            </w:r>
            <w:r w:rsidR="003E65AB">
              <w:rPr>
                <w:rFonts w:ascii="Arial Narrow" w:hAnsi="Arial Narrow" w:cs="Arial"/>
                <w:b/>
                <w:bCs/>
                <w:color w:val="FFFFFF"/>
                <w:sz w:val="24"/>
                <w:szCs w:val="24"/>
              </w:rPr>
              <w:t xml:space="preserve">a nivel </w:t>
            </w:r>
            <w:r w:rsidR="00A62BF0">
              <w:rPr>
                <w:rFonts w:ascii="Arial Narrow" w:hAnsi="Arial Narrow" w:cs="Arial"/>
                <w:b/>
                <w:bCs/>
                <w:color w:val="FFFFFF"/>
                <w:sz w:val="24"/>
                <w:szCs w:val="24"/>
              </w:rPr>
              <w:t>Sectorial: Avances y R</w:t>
            </w:r>
            <w:r w:rsidR="0022141C" w:rsidRPr="0022141C">
              <w:rPr>
                <w:rFonts w:ascii="Arial Narrow" w:hAnsi="Arial Narrow" w:cs="Arial"/>
                <w:b/>
                <w:bCs/>
                <w:color w:val="FFFFFF"/>
                <w:sz w:val="24"/>
                <w:szCs w:val="24"/>
              </w:rPr>
              <w:t>etos</w:t>
            </w:r>
          </w:p>
        </w:tc>
      </w:tr>
      <w:tr w:rsidR="00B227FE" w:rsidRPr="003B17BF" w:rsidTr="00774BAB">
        <w:trPr>
          <w:trHeight w:val="142"/>
        </w:trPr>
        <w:tc>
          <w:tcPr>
            <w:tcW w:w="929" w:type="dxa"/>
            <w:vAlign w:val="center"/>
            <w:hideMark/>
          </w:tcPr>
          <w:p w:rsidR="00AE4730" w:rsidRPr="004525C2" w:rsidRDefault="00AE4730" w:rsidP="00437C89">
            <w:pPr>
              <w:jc w:val="left"/>
              <w:rPr>
                <w:rFonts w:ascii="Arial Narrow" w:hAnsi="Arial Narrow" w:cs="Arial"/>
                <w:b/>
                <w:bCs/>
                <w:sz w:val="18"/>
                <w:szCs w:val="18"/>
              </w:rPr>
            </w:pPr>
            <w:r w:rsidRPr="004525C2">
              <w:rPr>
                <w:rFonts w:ascii="Arial Narrow" w:hAnsi="Arial Narrow" w:cs="Arial"/>
                <w:b/>
                <w:bCs/>
                <w:sz w:val="18"/>
                <w:szCs w:val="18"/>
              </w:rPr>
              <w:t xml:space="preserve">Fecha: </w:t>
            </w:r>
          </w:p>
        </w:tc>
        <w:tc>
          <w:tcPr>
            <w:tcW w:w="900" w:type="dxa"/>
            <w:gridSpan w:val="2"/>
            <w:vAlign w:val="center"/>
          </w:tcPr>
          <w:p w:rsidR="00AE4730" w:rsidRPr="004525C2" w:rsidRDefault="00AE4730" w:rsidP="00B227FE">
            <w:pPr>
              <w:jc w:val="left"/>
              <w:rPr>
                <w:rFonts w:ascii="Arial Narrow" w:hAnsi="Arial Narrow" w:cs="Arial"/>
                <w:b/>
                <w:bCs/>
                <w:sz w:val="18"/>
                <w:szCs w:val="18"/>
              </w:rPr>
            </w:pPr>
            <w:r w:rsidRPr="004525C2">
              <w:rPr>
                <w:rFonts w:ascii="Arial Narrow" w:hAnsi="Arial Narrow" w:cs="Arial"/>
                <w:bCs/>
                <w:sz w:val="18"/>
                <w:szCs w:val="18"/>
              </w:rPr>
              <w:t>16</w:t>
            </w:r>
            <w:r w:rsidR="00B227FE" w:rsidRPr="004525C2">
              <w:rPr>
                <w:rFonts w:ascii="Arial Narrow" w:hAnsi="Arial Narrow" w:cs="Arial"/>
                <w:bCs/>
                <w:sz w:val="18"/>
                <w:szCs w:val="18"/>
              </w:rPr>
              <w:t>/</w:t>
            </w:r>
            <w:r w:rsidRPr="004525C2">
              <w:rPr>
                <w:rFonts w:ascii="Arial Narrow" w:hAnsi="Arial Narrow" w:cs="Arial"/>
                <w:bCs/>
                <w:sz w:val="18"/>
                <w:szCs w:val="18"/>
              </w:rPr>
              <w:t>Marzo</w:t>
            </w:r>
          </w:p>
        </w:tc>
        <w:tc>
          <w:tcPr>
            <w:tcW w:w="854" w:type="dxa"/>
            <w:vAlign w:val="center"/>
          </w:tcPr>
          <w:p w:rsidR="00AE4730" w:rsidRPr="004525C2" w:rsidRDefault="00AE4730" w:rsidP="00527B22">
            <w:pPr>
              <w:jc w:val="left"/>
              <w:rPr>
                <w:rFonts w:ascii="Arial Narrow" w:hAnsi="Arial Narrow" w:cs="Arial"/>
                <w:b/>
                <w:bCs/>
                <w:sz w:val="18"/>
                <w:szCs w:val="18"/>
              </w:rPr>
            </w:pPr>
            <w:r w:rsidRPr="004525C2">
              <w:rPr>
                <w:rFonts w:ascii="Arial Narrow" w:hAnsi="Arial Narrow" w:cs="Arial"/>
                <w:b/>
                <w:bCs/>
                <w:sz w:val="18"/>
                <w:szCs w:val="18"/>
              </w:rPr>
              <w:t xml:space="preserve">Horario: </w:t>
            </w:r>
          </w:p>
        </w:tc>
        <w:tc>
          <w:tcPr>
            <w:tcW w:w="1272" w:type="dxa"/>
            <w:gridSpan w:val="2"/>
            <w:vAlign w:val="center"/>
          </w:tcPr>
          <w:p w:rsidR="00AE4730" w:rsidRPr="004525C2" w:rsidRDefault="004A0EFA" w:rsidP="00275BC2">
            <w:pPr>
              <w:jc w:val="left"/>
              <w:rPr>
                <w:rFonts w:ascii="Arial Narrow" w:hAnsi="Arial Narrow" w:cs="Arial"/>
                <w:bCs/>
                <w:sz w:val="18"/>
                <w:szCs w:val="18"/>
              </w:rPr>
            </w:pPr>
            <w:r>
              <w:rPr>
                <w:rFonts w:ascii="Arial Narrow" w:hAnsi="Arial Narrow" w:cs="Arial"/>
                <w:bCs/>
                <w:sz w:val="18"/>
                <w:szCs w:val="18"/>
              </w:rPr>
              <w:t>1</w:t>
            </w:r>
            <w:r w:rsidR="00A62BF0">
              <w:rPr>
                <w:rFonts w:ascii="Arial Narrow" w:hAnsi="Arial Narrow" w:cs="Arial"/>
                <w:bCs/>
                <w:sz w:val="18"/>
                <w:szCs w:val="18"/>
              </w:rPr>
              <w:t>1</w:t>
            </w:r>
            <w:r w:rsidR="00AE4730" w:rsidRPr="004525C2">
              <w:rPr>
                <w:rFonts w:ascii="Arial Narrow" w:hAnsi="Arial Narrow" w:cs="Arial"/>
                <w:bCs/>
                <w:sz w:val="18"/>
                <w:szCs w:val="18"/>
              </w:rPr>
              <w:t>:</w:t>
            </w:r>
            <w:r w:rsidR="00A62BF0">
              <w:rPr>
                <w:rFonts w:ascii="Arial Narrow" w:hAnsi="Arial Narrow" w:cs="Arial"/>
                <w:bCs/>
                <w:sz w:val="18"/>
                <w:szCs w:val="18"/>
              </w:rPr>
              <w:t>00</w:t>
            </w:r>
            <w:r w:rsidR="00AE4730" w:rsidRPr="004525C2">
              <w:rPr>
                <w:rFonts w:ascii="Arial Narrow" w:hAnsi="Arial Narrow" w:cs="Arial"/>
                <w:bCs/>
                <w:sz w:val="18"/>
                <w:szCs w:val="18"/>
              </w:rPr>
              <w:t xml:space="preserve"> – </w:t>
            </w:r>
            <w:r>
              <w:rPr>
                <w:rFonts w:ascii="Arial Narrow" w:hAnsi="Arial Narrow" w:cs="Arial"/>
                <w:bCs/>
                <w:sz w:val="18"/>
                <w:szCs w:val="18"/>
              </w:rPr>
              <w:t>1</w:t>
            </w:r>
            <w:r w:rsidR="00A62BF0">
              <w:rPr>
                <w:rFonts w:ascii="Arial Narrow" w:hAnsi="Arial Narrow" w:cs="Arial"/>
                <w:bCs/>
                <w:sz w:val="18"/>
                <w:szCs w:val="18"/>
              </w:rPr>
              <w:t>3:</w:t>
            </w:r>
            <w:r w:rsidR="004332FE">
              <w:rPr>
                <w:rFonts w:ascii="Arial Narrow" w:hAnsi="Arial Narrow" w:cs="Arial"/>
                <w:bCs/>
                <w:sz w:val="18"/>
                <w:szCs w:val="18"/>
              </w:rPr>
              <w:t>3</w:t>
            </w:r>
            <w:r w:rsidR="00AE4730" w:rsidRPr="004525C2">
              <w:rPr>
                <w:rFonts w:ascii="Arial Narrow" w:hAnsi="Arial Narrow" w:cs="Arial"/>
                <w:bCs/>
                <w:sz w:val="18"/>
                <w:szCs w:val="18"/>
              </w:rPr>
              <w:t>0</w:t>
            </w:r>
          </w:p>
        </w:tc>
        <w:tc>
          <w:tcPr>
            <w:tcW w:w="992" w:type="dxa"/>
            <w:vAlign w:val="center"/>
          </w:tcPr>
          <w:p w:rsidR="00AE4730" w:rsidRPr="004525C2" w:rsidRDefault="00AE4730" w:rsidP="00527B22">
            <w:pPr>
              <w:jc w:val="left"/>
              <w:rPr>
                <w:rFonts w:ascii="Arial Narrow" w:hAnsi="Arial Narrow" w:cs="Arial"/>
                <w:b/>
                <w:bCs/>
                <w:sz w:val="18"/>
                <w:szCs w:val="18"/>
              </w:rPr>
            </w:pPr>
            <w:r w:rsidRPr="004525C2">
              <w:rPr>
                <w:rFonts w:ascii="Arial Narrow" w:hAnsi="Arial Narrow" w:cs="Arial"/>
                <w:b/>
                <w:bCs/>
                <w:sz w:val="18"/>
                <w:szCs w:val="18"/>
              </w:rPr>
              <w:t>Duración:</w:t>
            </w:r>
          </w:p>
        </w:tc>
        <w:tc>
          <w:tcPr>
            <w:tcW w:w="1418" w:type="dxa"/>
            <w:gridSpan w:val="2"/>
            <w:vAlign w:val="center"/>
          </w:tcPr>
          <w:p w:rsidR="00AE4730" w:rsidRPr="004525C2" w:rsidRDefault="004A0EFA" w:rsidP="00A62BF0">
            <w:pPr>
              <w:jc w:val="left"/>
              <w:rPr>
                <w:rFonts w:ascii="Arial Narrow" w:hAnsi="Arial Narrow" w:cs="Arial"/>
                <w:bCs/>
                <w:sz w:val="18"/>
                <w:szCs w:val="18"/>
              </w:rPr>
            </w:pPr>
            <w:r>
              <w:rPr>
                <w:rFonts w:ascii="Arial Narrow" w:hAnsi="Arial Narrow" w:cs="Arial"/>
                <w:bCs/>
                <w:sz w:val="18"/>
                <w:szCs w:val="18"/>
              </w:rPr>
              <w:t>2</w:t>
            </w:r>
            <w:r w:rsidR="00AE4730" w:rsidRPr="004525C2">
              <w:rPr>
                <w:rFonts w:ascii="Arial Narrow" w:hAnsi="Arial Narrow" w:cs="Arial"/>
                <w:bCs/>
                <w:sz w:val="18"/>
                <w:szCs w:val="18"/>
              </w:rPr>
              <w:t xml:space="preserve"> horas y </w:t>
            </w:r>
            <w:r w:rsidR="00A62BF0">
              <w:rPr>
                <w:rFonts w:ascii="Arial Narrow" w:hAnsi="Arial Narrow" w:cs="Arial"/>
                <w:bCs/>
                <w:sz w:val="18"/>
                <w:szCs w:val="18"/>
              </w:rPr>
              <w:t>30</w:t>
            </w:r>
            <w:r w:rsidR="00275BC2">
              <w:rPr>
                <w:rFonts w:ascii="Arial Narrow" w:hAnsi="Arial Narrow" w:cs="Arial"/>
                <w:bCs/>
                <w:sz w:val="18"/>
                <w:szCs w:val="18"/>
              </w:rPr>
              <w:t xml:space="preserve"> min.</w:t>
            </w:r>
          </w:p>
        </w:tc>
        <w:tc>
          <w:tcPr>
            <w:tcW w:w="1417" w:type="dxa"/>
            <w:vAlign w:val="center"/>
          </w:tcPr>
          <w:p w:rsidR="00AE4730" w:rsidRPr="004525C2" w:rsidRDefault="00AE4730" w:rsidP="00437C89">
            <w:pPr>
              <w:jc w:val="left"/>
              <w:rPr>
                <w:rFonts w:ascii="Arial Narrow" w:hAnsi="Arial Narrow" w:cs="Arial"/>
                <w:b/>
                <w:bCs/>
                <w:sz w:val="18"/>
                <w:szCs w:val="18"/>
              </w:rPr>
            </w:pPr>
            <w:r w:rsidRPr="004525C2">
              <w:rPr>
                <w:rFonts w:ascii="Arial Narrow" w:hAnsi="Arial Narrow" w:cs="Arial"/>
                <w:b/>
                <w:bCs/>
                <w:sz w:val="18"/>
                <w:szCs w:val="18"/>
              </w:rPr>
              <w:t>Participantes:</w:t>
            </w:r>
          </w:p>
        </w:tc>
        <w:tc>
          <w:tcPr>
            <w:tcW w:w="1578" w:type="dxa"/>
            <w:vAlign w:val="center"/>
          </w:tcPr>
          <w:p w:rsidR="00AE4730" w:rsidRPr="004525C2" w:rsidRDefault="00B227FE" w:rsidP="00437C89">
            <w:pPr>
              <w:jc w:val="left"/>
              <w:rPr>
                <w:rFonts w:ascii="Arial Narrow" w:hAnsi="Arial Narrow" w:cs="Arial"/>
                <w:bCs/>
                <w:sz w:val="18"/>
                <w:szCs w:val="18"/>
              </w:rPr>
            </w:pPr>
            <w:r w:rsidRPr="004525C2">
              <w:rPr>
                <w:rFonts w:ascii="Arial Narrow" w:hAnsi="Arial Narrow" w:cs="Arial"/>
                <w:bCs/>
                <w:sz w:val="18"/>
                <w:szCs w:val="18"/>
              </w:rPr>
              <w:t>Máximo 60</w:t>
            </w:r>
          </w:p>
        </w:tc>
      </w:tr>
      <w:tr w:rsidR="00EF51D6" w:rsidRPr="003B17BF" w:rsidTr="00774BAB">
        <w:trPr>
          <w:trHeight w:val="142"/>
        </w:trPr>
        <w:tc>
          <w:tcPr>
            <w:tcW w:w="1829" w:type="dxa"/>
            <w:gridSpan w:val="3"/>
            <w:vAlign w:val="center"/>
            <w:hideMark/>
          </w:tcPr>
          <w:p w:rsidR="00EF51D6" w:rsidRPr="004525C2" w:rsidRDefault="00EF51D6" w:rsidP="00437C89">
            <w:pPr>
              <w:jc w:val="left"/>
              <w:rPr>
                <w:rFonts w:ascii="Arial Narrow" w:hAnsi="Arial Narrow" w:cs="Arial"/>
                <w:b/>
                <w:bCs/>
                <w:sz w:val="18"/>
                <w:szCs w:val="18"/>
              </w:rPr>
            </w:pPr>
            <w:r w:rsidRPr="004525C2">
              <w:rPr>
                <w:rFonts w:ascii="Arial Narrow" w:hAnsi="Arial Narrow" w:cs="Arial"/>
                <w:b/>
                <w:bCs/>
                <w:sz w:val="18"/>
                <w:szCs w:val="18"/>
              </w:rPr>
              <w:t>Objetivos:</w:t>
            </w:r>
          </w:p>
        </w:tc>
        <w:tc>
          <w:tcPr>
            <w:tcW w:w="7531" w:type="dxa"/>
            <w:gridSpan w:val="8"/>
            <w:vAlign w:val="center"/>
          </w:tcPr>
          <w:p w:rsidR="00CB54A0" w:rsidRPr="006825E1" w:rsidRDefault="00CB54A0" w:rsidP="00CB54A0">
            <w:pPr>
              <w:pStyle w:val="ListParagraph"/>
              <w:numPr>
                <w:ilvl w:val="0"/>
                <w:numId w:val="3"/>
              </w:numPr>
              <w:ind w:left="145" w:hanging="145"/>
              <w:rPr>
                <w:rFonts w:ascii="Arial Narrow" w:hAnsi="Arial Narrow" w:cs="Arial"/>
                <w:bCs/>
                <w:sz w:val="18"/>
                <w:szCs w:val="18"/>
              </w:rPr>
            </w:pPr>
            <w:r w:rsidRPr="006825E1">
              <w:rPr>
                <w:rFonts w:ascii="Arial Narrow" w:hAnsi="Arial Narrow" w:cs="Arial"/>
                <w:bCs/>
                <w:sz w:val="18"/>
                <w:szCs w:val="18"/>
              </w:rPr>
              <w:t xml:space="preserve">Conocer el estado de la situación en la región </w:t>
            </w:r>
            <w:r>
              <w:rPr>
                <w:rFonts w:ascii="Arial Narrow" w:hAnsi="Arial Narrow" w:cs="Arial"/>
                <w:bCs/>
                <w:sz w:val="18"/>
                <w:szCs w:val="18"/>
              </w:rPr>
              <w:t xml:space="preserve">en relación </w:t>
            </w:r>
            <w:r w:rsidR="00A33FF5">
              <w:rPr>
                <w:rFonts w:ascii="Arial Narrow" w:hAnsi="Arial Narrow" w:cs="Arial"/>
                <w:bCs/>
                <w:sz w:val="18"/>
                <w:szCs w:val="18"/>
              </w:rPr>
              <w:t>al tema</w:t>
            </w:r>
            <w:r>
              <w:rPr>
                <w:rFonts w:ascii="Arial Narrow" w:hAnsi="Arial Narrow" w:cs="Arial"/>
                <w:bCs/>
                <w:sz w:val="18"/>
                <w:szCs w:val="18"/>
              </w:rPr>
              <w:t>.</w:t>
            </w:r>
          </w:p>
          <w:p w:rsidR="00CB54A0" w:rsidRPr="006825E1" w:rsidRDefault="00CB54A0" w:rsidP="00CB54A0">
            <w:pPr>
              <w:pStyle w:val="ListParagraph"/>
              <w:numPr>
                <w:ilvl w:val="0"/>
                <w:numId w:val="3"/>
              </w:numPr>
              <w:ind w:left="145" w:hanging="145"/>
              <w:rPr>
                <w:rFonts w:ascii="Arial Narrow" w:hAnsi="Arial Narrow" w:cs="Arial"/>
                <w:bCs/>
                <w:sz w:val="18"/>
                <w:szCs w:val="18"/>
              </w:rPr>
            </w:pPr>
            <w:r w:rsidRPr="006825E1">
              <w:rPr>
                <w:rFonts w:ascii="Arial Narrow" w:hAnsi="Arial Narrow" w:cs="Arial"/>
                <w:bCs/>
                <w:sz w:val="18"/>
                <w:szCs w:val="18"/>
              </w:rPr>
              <w:t>Identificar los desafíos y oportunidades a corto y mediano plazo 2011-2015.</w:t>
            </w:r>
          </w:p>
          <w:p w:rsidR="00180F18" w:rsidRPr="004525C2" w:rsidRDefault="00CB54A0" w:rsidP="00CB54A0">
            <w:pPr>
              <w:pStyle w:val="ListParagraph"/>
              <w:numPr>
                <w:ilvl w:val="0"/>
                <w:numId w:val="3"/>
              </w:numPr>
              <w:ind w:left="145" w:hanging="145"/>
              <w:rPr>
                <w:rFonts w:ascii="Arial Narrow" w:hAnsi="Arial Narrow" w:cs="Arial"/>
                <w:bCs/>
                <w:sz w:val="18"/>
                <w:szCs w:val="18"/>
              </w:rPr>
            </w:pPr>
            <w:r w:rsidRPr="006825E1">
              <w:rPr>
                <w:rFonts w:ascii="Arial Narrow" w:hAnsi="Arial Narrow" w:cs="Arial"/>
                <w:bCs/>
                <w:sz w:val="18"/>
                <w:szCs w:val="18"/>
              </w:rPr>
              <w:t xml:space="preserve">Señalar las acciones prioritarias </w:t>
            </w:r>
            <w:r>
              <w:rPr>
                <w:rFonts w:ascii="Arial Narrow" w:hAnsi="Arial Narrow" w:cs="Arial"/>
                <w:bCs/>
                <w:sz w:val="18"/>
                <w:szCs w:val="18"/>
              </w:rPr>
              <w:t xml:space="preserve">para las PNs </w:t>
            </w:r>
            <w:r w:rsidRPr="006825E1">
              <w:rPr>
                <w:rFonts w:ascii="Arial Narrow" w:hAnsi="Arial Narrow" w:cs="Arial"/>
                <w:bCs/>
                <w:sz w:val="18"/>
                <w:szCs w:val="18"/>
              </w:rPr>
              <w:t>a nivel: regional, subregional y nacional hacia el 2015</w:t>
            </w:r>
          </w:p>
        </w:tc>
      </w:tr>
      <w:tr w:rsidR="009D3026" w:rsidRPr="003B17BF" w:rsidTr="00E94F4D">
        <w:trPr>
          <w:trHeight w:val="142"/>
        </w:trPr>
        <w:tc>
          <w:tcPr>
            <w:tcW w:w="1829" w:type="dxa"/>
            <w:gridSpan w:val="3"/>
            <w:vAlign w:val="center"/>
            <w:hideMark/>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t>Presentación de la Sesión:</w:t>
            </w:r>
          </w:p>
          <w:p w:rsidR="009D3026" w:rsidRPr="009D3026" w:rsidRDefault="009D3026" w:rsidP="008A07C2">
            <w:pPr>
              <w:jc w:val="left"/>
              <w:rPr>
                <w:rFonts w:ascii="Arial Narrow" w:hAnsi="Arial Narrow" w:cs="Arial"/>
                <w:b/>
                <w:bCs/>
                <w:sz w:val="18"/>
                <w:szCs w:val="18"/>
              </w:rPr>
            </w:pPr>
            <w:r w:rsidRPr="009D3026">
              <w:rPr>
                <w:rFonts w:ascii="Arial Narrow" w:hAnsi="Arial Narrow" w:cs="Arial"/>
                <w:bCs/>
                <w:sz w:val="16"/>
                <w:szCs w:val="16"/>
              </w:rPr>
              <w:t>(</w:t>
            </w:r>
            <w:r w:rsidR="008A07C2">
              <w:rPr>
                <w:rFonts w:ascii="Arial Narrow" w:hAnsi="Arial Narrow" w:cs="Arial"/>
                <w:bCs/>
                <w:sz w:val="16"/>
                <w:szCs w:val="16"/>
              </w:rPr>
              <w:t>Moderadora</w:t>
            </w:r>
            <w:r w:rsidRPr="009D3026">
              <w:rPr>
                <w:rFonts w:ascii="Arial Narrow" w:hAnsi="Arial Narrow" w:cs="Arial"/>
                <w:bCs/>
                <w:sz w:val="16"/>
                <w:szCs w:val="16"/>
              </w:rPr>
              <w:t>)</w:t>
            </w:r>
          </w:p>
        </w:tc>
        <w:tc>
          <w:tcPr>
            <w:tcW w:w="7531" w:type="dxa"/>
            <w:gridSpan w:val="8"/>
            <w:shd w:val="clear" w:color="auto" w:fill="FFFFFF" w:themeFill="background1"/>
            <w:vAlign w:val="center"/>
          </w:tcPr>
          <w:p w:rsidR="009D3026" w:rsidRPr="009D3026" w:rsidRDefault="0022141C" w:rsidP="0022141C">
            <w:pPr>
              <w:pStyle w:val="ListParagraph"/>
              <w:numPr>
                <w:ilvl w:val="0"/>
                <w:numId w:val="3"/>
              </w:numPr>
              <w:ind w:left="145" w:hanging="145"/>
              <w:rPr>
                <w:rFonts w:ascii="Arial Narrow" w:hAnsi="Arial Narrow" w:cs="Arial"/>
                <w:bCs/>
                <w:sz w:val="18"/>
                <w:szCs w:val="18"/>
                <w:lang w:val="es-MX"/>
              </w:rPr>
            </w:pPr>
            <w:r w:rsidRPr="0022141C">
              <w:rPr>
                <w:rFonts w:ascii="Arial Narrow" w:hAnsi="Arial Narrow" w:cs="Arial"/>
                <w:bCs/>
                <w:sz w:val="18"/>
                <w:szCs w:val="18"/>
              </w:rPr>
              <w:t>Esta sesión temática se enfocará en discutir críticamente los roles y responsabilidades de los diferentes componentes de los sistemas nacionales de reducción de riesgo en los sectores, presentando ejemplos concretos del sector salud. Se analizarán temas de niveles de decisión, gerencia, financiamiento e implementación de la RRD. A la luz de los terremotos destructores y las inundaciones severas del 2010, se discutirá el verdadero costo de no invertir en reducción de riesgo de desastres en uno de los servicios críticos para la población.</w:t>
            </w:r>
          </w:p>
        </w:tc>
      </w:tr>
      <w:tr w:rsidR="009D3026" w:rsidRPr="003B17BF" w:rsidTr="00E94F4D">
        <w:trPr>
          <w:trHeight w:val="142"/>
        </w:trPr>
        <w:tc>
          <w:tcPr>
            <w:tcW w:w="1829" w:type="dxa"/>
            <w:gridSpan w:val="3"/>
            <w:vAlign w:val="center"/>
            <w:hideMark/>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t>Preguntas clave</w:t>
            </w:r>
            <w:r>
              <w:rPr>
                <w:rFonts w:ascii="Arial Narrow" w:hAnsi="Arial Narrow" w:cs="Arial"/>
                <w:b/>
                <w:bCs/>
                <w:sz w:val="18"/>
                <w:szCs w:val="18"/>
              </w:rPr>
              <w:t>:</w:t>
            </w:r>
          </w:p>
        </w:tc>
        <w:tc>
          <w:tcPr>
            <w:tcW w:w="7531" w:type="dxa"/>
            <w:gridSpan w:val="8"/>
            <w:shd w:val="clear" w:color="auto" w:fill="FFFFFF" w:themeFill="background1"/>
            <w:vAlign w:val="center"/>
          </w:tcPr>
          <w:p w:rsidR="00A62BF0" w:rsidRDefault="00A62BF0" w:rsidP="00A62BF0">
            <w:pPr>
              <w:pStyle w:val="ListParagraph"/>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 xml:space="preserve">¿Cuáles son los </w:t>
            </w:r>
            <w:r>
              <w:rPr>
                <w:rFonts w:ascii="Arial Narrow" w:hAnsi="Arial Narrow" w:cs="Arial"/>
                <w:bCs/>
                <w:sz w:val="18"/>
                <w:szCs w:val="18"/>
              </w:rPr>
              <w:t xml:space="preserve">avances de </w:t>
            </w:r>
            <w:r w:rsidRPr="004A0EFA">
              <w:rPr>
                <w:rFonts w:ascii="Arial Narrow" w:hAnsi="Arial Narrow" w:cs="Arial"/>
                <w:bCs/>
                <w:sz w:val="18"/>
                <w:szCs w:val="18"/>
              </w:rPr>
              <w:t xml:space="preserve">los </w:t>
            </w:r>
            <w:r>
              <w:rPr>
                <w:rFonts w:ascii="Arial Narrow" w:hAnsi="Arial Narrow" w:cs="Arial"/>
                <w:bCs/>
                <w:sz w:val="18"/>
                <w:szCs w:val="18"/>
              </w:rPr>
              <w:t>sectores de Reducción de Riesgo de Desastres</w:t>
            </w:r>
            <w:r w:rsidRPr="004A0EFA">
              <w:rPr>
                <w:rFonts w:ascii="Arial Narrow" w:hAnsi="Arial Narrow" w:cs="Arial"/>
                <w:bCs/>
                <w:sz w:val="18"/>
                <w:szCs w:val="18"/>
              </w:rPr>
              <w:t xml:space="preserve">? </w:t>
            </w:r>
          </w:p>
          <w:p w:rsidR="00A62BF0" w:rsidRPr="004A0EFA" w:rsidRDefault="00A62BF0" w:rsidP="00A62BF0">
            <w:pPr>
              <w:pStyle w:val="ListParagraph"/>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 xml:space="preserve">¿Cuáles son retos que enfrentan </w:t>
            </w:r>
            <w:r>
              <w:rPr>
                <w:rFonts w:ascii="Arial Narrow" w:hAnsi="Arial Narrow" w:cs="Arial"/>
                <w:bCs/>
                <w:sz w:val="18"/>
                <w:szCs w:val="18"/>
              </w:rPr>
              <w:t>los sectores para mejorar su capacidad en RRD?</w:t>
            </w:r>
          </w:p>
          <w:p w:rsidR="00A62BF0" w:rsidRPr="004A0EFA" w:rsidRDefault="00A62BF0" w:rsidP="00A62BF0">
            <w:pPr>
              <w:pStyle w:val="ListParagraph"/>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 xml:space="preserve">¿Cuáles son </w:t>
            </w:r>
            <w:r>
              <w:rPr>
                <w:rFonts w:ascii="Arial Narrow" w:hAnsi="Arial Narrow" w:cs="Arial"/>
                <w:bCs/>
                <w:sz w:val="18"/>
                <w:szCs w:val="18"/>
              </w:rPr>
              <w:t>las experiencias exitosas en la generación de normas y códigos de construcción, que garanticen el funcionamiento de los servicios críticos</w:t>
            </w:r>
            <w:r w:rsidRPr="004A0EFA">
              <w:rPr>
                <w:rFonts w:ascii="Arial Narrow" w:hAnsi="Arial Narrow" w:cs="Arial"/>
                <w:bCs/>
                <w:sz w:val="18"/>
                <w:szCs w:val="18"/>
              </w:rPr>
              <w:t>?</w:t>
            </w:r>
          </w:p>
          <w:p w:rsidR="00A62BF0" w:rsidRPr="004A0EFA" w:rsidRDefault="00A62BF0" w:rsidP="00A62BF0">
            <w:pPr>
              <w:pStyle w:val="ListParagraph"/>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w:t>
            </w:r>
            <w:r>
              <w:rPr>
                <w:rFonts w:ascii="Arial Narrow" w:hAnsi="Arial Narrow" w:cs="Arial"/>
                <w:bCs/>
                <w:sz w:val="18"/>
                <w:szCs w:val="18"/>
              </w:rPr>
              <w:t xml:space="preserve">Es posible </w:t>
            </w:r>
            <w:r w:rsidR="00774BAB">
              <w:rPr>
                <w:rFonts w:ascii="Arial Narrow" w:hAnsi="Arial Narrow" w:cs="Arial"/>
                <w:bCs/>
                <w:sz w:val="18"/>
                <w:szCs w:val="18"/>
              </w:rPr>
              <w:t>implementar</w:t>
            </w:r>
            <w:r>
              <w:rPr>
                <w:rFonts w:ascii="Arial Narrow" w:hAnsi="Arial Narrow" w:cs="Arial"/>
                <w:bCs/>
                <w:sz w:val="18"/>
                <w:szCs w:val="18"/>
              </w:rPr>
              <w:t xml:space="preserve"> un plan de acción a nivel sectorial que de resultados tangibles</w:t>
            </w:r>
            <w:r w:rsidRPr="004A0EFA">
              <w:rPr>
                <w:rFonts w:ascii="Arial Narrow" w:hAnsi="Arial Narrow" w:cs="Arial"/>
                <w:bCs/>
                <w:sz w:val="18"/>
                <w:szCs w:val="18"/>
              </w:rPr>
              <w:t xml:space="preserve">? </w:t>
            </w:r>
          </w:p>
          <w:p w:rsidR="009D3026" w:rsidRPr="001C0B18" w:rsidRDefault="00A62BF0" w:rsidP="001C0B18">
            <w:pPr>
              <w:pStyle w:val="ListParagraph"/>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w:t>
            </w:r>
            <w:r>
              <w:rPr>
                <w:rFonts w:ascii="Arial Narrow" w:hAnsi="Arial Narrow" w:cs="Arial"/>
                <w:bCs/>
                <w:sz w:val="18"/>
                <w:szCs w:val="18"/>
              </w:rPr>
              <w:t>Cómo priorizar e implementar medidas de intervención a nivel sectorial</w:t>
            </w:r>
            <w:r w:rsidRPr="004A0EFA">
              <w:rPr>
                <w:rFonts w:ascii="Arial Narrow" w:hAnsi="Arial Narrow" w:cs="Arial"/>
                <w:bCs/>
                <w:sz w:val="18"/>
                <w:szCs w:val="18"/>
              </w:rPr>
              <w:t>?</w:t>
            </w:r>
          </w:p>
        </w:tc>
      </w:tr>
      <w:tr w:rsidR="00C63042" w:rsidRPr="005C2F23" w:rsidTr="00774BAB">
        <w:trPr>
          <w:trHeight w:val="142"/>
        </w:trPr>
        <w:tc>
          <w:tcPr>
            <w:tcW w:w="9360" w:type="dxa"/>
            <w:gridSpan w:val="11"/>
            <w:shd w:val="clear" w:color="auto" w:fill="365F91" w:themeFill="accent1" w:themeFillShade="BF"/>
            <w:vAlign w:val="center"/>
            <w:hideMark/>
          </w:tcPr>
          <w:p w:rsidR="00C63042" w:rsidRPr="00765988" w:rsidRDefault="00C63042" w:rsidP="00C63042">
            <w:pPr>
              <w:jc w:val="center"/>
              <w:rPr>
                <w:rFonts w:ascii="Arial Narrow" w:hAnsi="Arial Narrow" w:cs="Arial"/>
                <w:b/>
                <w:bCs/>
                <w:color w:val="FFFFFF" w:themeColor="background1"/>
                <w:sz w:val="24"/>
                <w:szCs w:val="24"/>
              </w:rPr>
            </w:pPr>
            <w:r w:rsidRPr="00765988">
              <w:rPr>
                <w:rFonts w:ascii="Arial Narrow" w:hAnsi="Arial Narrow" w:cs="Arial"/>
                <w:b/>
                <w:bCs/>
                <w:color w:val="FFFFFF" w:themeColor="background1"/>
                <w:sz w:val="24"/>
                <w:szCs w:val="24"/>
              </w:rPr>
              <w:t>Estructura de la Sesión</w:t>
            </w:r>
          </w:p>
        </w:tc>
      </w:tr>
      <w:tr w:rsidR="00D15EC1" w:rsidRPr="003B17BF" w:rsidTr="00FF6607">
        <w:trPr>
          <w:trHeight w:val="310"/>
        </w:trPr>
        <w:tc>
          <w:tcPr>
            <w:tcW w:w="1829" w:type="dxa"/>
            <w:gridSpan w:val="3"/>
            <w:vAlign w:val="center"/>
            <w:hideMark/>
          </w:tcPr>
          <w:p w:rsidR="00D15EC1" w:rsidRPr="00050BEC" w:rsidRDefault="00A33FF5" w:rsidP="00ED0C00">
            <w:pPr>
              <w:jc w:val="left"/>
              <w:rPr>
                <w:rFonts w:ascii="Arial Narrow" w:hAnsi="Arial Narrow" w:cs="Arial"/>
                <w:b/>
                <w:bCs/>
                <w:sz w:val="18"/>
                <w:szCs w:val="18"/>
              </w:rPr>
            </w:pPr>
            <w:r>
              <w:rPr>
                <w:rFonts w:ascii="Arial Narrow" w:hAnsi="Arial Narrow" w:cs="Arial"/>
                <w:b/>
                <w:bCs/>
                <w:sz w:val="18"/>
                <w:szCs w:val="18"/>
              </w:rPr>
              <w:t>Coordinador</w:t>
            </w:r>
            <w:r w:rsidR="00D15EC1">
              <w:rPr>
                <w:rFonts w:ascii="Arial Narrow" w:hAnsi="Arial Narrow" w:cs="Arial"/>
                <w:b/>
                <w:bCs/>
                <w:sz w:val="18"/>
                <w:szCs w:val="18"/>
              </w:rPr>
              <w:t>:</w:t>
            </w:r>
          </w:p>
        </w:tc>
        <w:tc>
          <w:tcPr>
            <w:tcW w:w="2126" w:type="dxa"/>
            <w:gridSpan w:val="3"/>
            <w:shd w:val="clear" w:color="auto" w:fill="FFFFFF" w:themeFill="background1"/>
            <w:vAlign w:val="center"/>
          </w:tcPr>
          <w:p w:rsidR="00D15EC1" w:rsidRPr="00A33FF5" w:rsidRDefault="00FF6607" w:rsidP="00FF6607">
            <w:pPr>
              <w:jc w:val="left"/>
              <w:rPr>
                <w:rFonts w:ascii="Arial Narrow" w:hAnsi="Arial Narrow" w:cs="Arial"/>
                <w:b/>
                <w:bCs/>
                <w:sz w:val="18"/>
                <w:szCs w:val="18"/>
              </w:rPr>
            </w:pPr>
            <w:r>
              <w:rPr>
                <w:rFonts w:ascii="Arial Narrow" w:hAnsi="Arial Narrow" w:cs="Arial"/>
                <w:b/>
                <w:bCs/>
                <w:sz w:val="18"/>
                <w:szCs w:val="18"/>
              </w:rPr>
              <w:t>Organización Panamericana de la Salud</w:t>
            </w:r>
          </w:p>
        </w:tc>
        <w:tc>
          <w:tcPr>
            <w:tcW w:w="5405" w:type="dxa"/>
            <w:gridSpan w:val="5"/>
            <w:shd w:val="clear" w:color="auto" w:fill="FFFFFF" w:themeFill="background1"/>
            <w:vAlign w:val="center"/>
          </w:tcPr>
          <w:p w:rsidR="00D15EC1" w:rsidRPr="00661108" w:rsidRDefault="00661108" w:rsidP="00AA0CB0">
            <w:pPr>
              <w:jc w:val="left"/>
              <w:rPr>
                <w:rFonts w:ascii="Arial Narrow" w:hAnsi="Arial Narrow" w:cs="Arial"/>
                <w:b/>
                <w:bCs/>
                <w:sz w:val="18"/>
                <w:szCs w:val="18"/>
              </w:rPr>
            </w:pPr>
            <w:r w:rsidRPr="00661108">
              <w:rPr>
                <w:rFonts w:ascii="Arial Narrow" w:hAnsi="Arial Narrow" w:cs="Arial"/>
                <w:b/>
                <w:bCs/>
                <w:sz w:val="18"/>
                <w:szCs w:val="18"/>
              </w:rPr>
              <w:t>Dr. Jean Luc Poncelet</w:t>
            </w:r>
          </w:p>
          <w:p w:rsidR="00661108" w:rsidRPr="00624B8F" w:rsidRDefault="00661108" w:rsidP="00661108">
            <w:pPr>
              <w:jc w:val="left"/>
              <w:rPr>
                <w:rFonts w:ascii="Arial Narrow" w:hAnsi="Arial Narrow" w:cs="Arial"/>
                <w:bCs/>
                <w:sz w:val="18"/>
                <w:szCs w:val="18"/>
              </w:rPr>
            </w:pPr>
            <w:r>
              <w:rPr>
                <w:rFonts w:ascii="Arial Narrow" w:hAnsi="Arial Narrow" w:cs="Arial"/>
                <w:bCs/>
                <w:sz w:val="18"/>
                <w:szCs w:val="18"/>
              </w:rPr>
              <w:t>Gerente Area de Preparativos para Emergencias y Desastres</w:t>
            </w:r>
          </w:p>
        </w:tc>
      </w:tr>
      <w:tr w:rsidR="00D15EC1" w:rsidRPr="003B17BF" w:rsidTr="00FF6607">
        <w:trPr>
          <w:trHeight w:val="733"/>
        </w:trPr>
        <w:tc>
          <w:tcPr>
            <w:tcW w:w="1829" w:type="dxa"/>
            <w:gridSpan w:val="3"/>
            <w:vAlign w:val="center"/>
            <w:hideMark/>
          </w:tcPr>
          <w:p w:rsidR="00D15EC1" w:rsidRPr="00050BEC" w:rsidRDefault="00D15EC1" w:rsidP="00C63042">
            <w:pPr>
              <w:jc w:val="left"/>
              <w:rPr>
                <w:rFonts w:ascii="Arial Narrow" w:hAnsi="Arial Narrow" w:cs="Arial"/>
                <w:b/>
                <w:bCs/>
                <w:sz w:val="18"/>
                <w:szCs w:val="18"/>
              </w:rPr>
            </w:pPr>
            <w:r w:rsidRPr="00050BEC">
              <w:rPr>
                <w:rFonts w:ascii="Arial Narrow" w:hAnsi="Arial Narrow" w:cs="Arial"/>
                <w:b/>
                <w:bCs/>
                <w:sz w:val="18"/>
                <w:szCs w:val="18"/>
              </w:rPr>
              <w:t>Moder</w:t>
            </w:r>
            <w:r>
              <w:rPr>
                <w:rFonts w:ascii="Arial Narrow" w:hAnsi="Arial Narrow" w:cs="Arial"/>
                <w:b/>
                <w:bCs/>
                <w:sz w:val="18"/>
                <w:szCs w:val="18"/>
              </w:rPr>
              <w:t>ador</w:t>
            </w:r>
            <w:r w:rsidR="008A07C2">
              <w:rPr>
                <w:rFonts w:ascii="Arial Narrow" w:hAnsi="Arial Narrow" w:cs="Arial"/>
                <w:b/>
                <w:bCs/>
                <w:sz w:val="18"/>
                <w:szCs w:val="18"/>
              </w:rPr>
              <w:t>a</w:t>
            </w:r>
            <w:r w:rsidRPr="00050BEC">
              <w:rPr>
                <w:rFonts w:ascii="Arial Narrow" w:hAnsi="Arial Narrow" w:cs="Arial"/>
                <w:b/>
                <w:bCs/>
                <w:sz w:val="18"/>
                <w:szCs w:val="18"/>
              </w:rPr>
              <w:t>:</w:t>
            </w:r>
          </w:p>
        </w:tc>
        <w:tc>
          <w:tcPr>
            <w:tcW w:w="2126" w:type="dxa"/>
            <w:gridSpan w:val="3"/>
            <w:shd w:val="clear" w:color="auto" w:fill="FFFFFF" w:themeFill="background1"/>
            <w:vAlign w:val="center"/>
          </w:tcPr>
          <w:p w:rsidR="00AB401C" w:rsidRDefault="00FF6607" w:rsidP="00BC25CD">
            <w:pPr>
              <w:jc w:val="left"/>
              <w:rPr>
                <w:rFonts w:ascii="Arial Narrow" w:hAnsi="Arial Narrow" w:cs="Arial"/>
                <w:b/>
                <w:bCs/>
                <w:sz w:val="18"/>
                <w:szCs w:val="18"/>
              </w:rPr>
            </w:pPr>
            <w:r w:rsidRPr="00FF6607">
              <w:rPr>
                <w:rFonts w:ascii="Arial Narrow" w:hAnsi="Arial Narrow" w:cs="Arial"/>
                <w:b/>
                <w:bCs/>
                <w:sz w:val="18"/>
                <w:szCs w:val="18"/>
              </w:rPr>
              <w:t>Centro Nacional de Prevención de Desastres</w:t>
            </w:r>
            <w:r w:rsidR="00AA0CB0">
              <w:rPr>
                <w:rFonts w:ascii="Arial Narrow" w:hAnsi="Arial Narrow" w:cs="Arial"/>
                <w:b/>
                <w:bCs/>
                <w:sz w:val="18"/>
                <w:szCs w:val="18"/>
              </w:rPr>
              <w:t xml:space="preserve">. </w:t>
            </w:r>
          </w:p>
          <w:p w:rsidR="00D15EC1" w:rsidRPr="00100A0A" w:rsidRDefault="00AA0CB0" w:rsidP="00BC25CD">
            <w:pPr>
              <w:jc w:val="left"/>
              <w:rPr>
                <w:rFonts w:ascii="Arial Narrow" w:hAnsi="Arial Narrow" w:cs="Arial"/>
                <w:b/>
                <w:bCs/>
                <w:sz w:val="18"/>
                <w:szCs w:val="18"/>
              </w:rPr>
            </w:pPr>
            <w:r>
              <w:rPr>
                <w:rFonts w:ascii="Arial Narrow" w:hAnsi="Arial Narrow" w:cs="Arial"/>
                <w:b/>
                <w:bCs/>
                <w:sz w:val="18"/>
                <w:szCs w:val="18"/>
              </w:rPr>
              <w:t>MEXICO</w:t>
            </w:r>
          </w:p>
        </w:tc>
        <w:tc>
          <w:tcPr>
            <w:tcW w:w="5405" w:type="dxa"/>
            <w:gridSpan w:val="5"/>
            <w:shd w:val="clear" w:color="auto" w:fill="FFFFFF" w:themeFill="background1"/>
            <w:vAlign w:val="center"/>
          </w:tcPr>
          <w:p w:rsidR="00FF6607" w:rsidRPr="00FF6607" w:rsidRDefault="00FF6607" w:rsidP="00FF6607">
            <w:pPr>
              <w:jc w:val="left"/>
              <w:rPr>
                <w:rFonts w:ascii="Arial Narrow" w:hAnsi="Arial Narrow" w:cs="Arial"/>
                <w:b/>
                <w:bCs/>
                <w:sz w:val="18"/>
                <w:szCs w:val="18"/>
                <w:lang w:val="en-US"/>
              </w:rPr>
            </w:pPr>
            <w:r>
              <w:rPr>
                <w:rFonts w:ascii="Arial Narrow" w:hAnsi="Arial Narrow" w:cs="Arial"/>
                <w:b/>
                <w:bCs/>
                <w:sz w:val="18"/>
                <w:szCs w:val="18"/>
                <w:lang w:val="en-US"/>
              </w:rPr>
              <w:t xml:space="preserve">Ing. Roberto </w:t>
            </w:r>
            <w:proofErr w:type="spellStart"/>
            <w:r>
              <w:rPr>
                <w:rFonts w:ascii="Arial Narrow" w:hAnsi="Arial Narrow" w:cs="Arial"/>
                <w:b/>
                <w:bCs/>
                <w:sz w:val="18"/>
                <w:szCs w:val="18"/>
                <w:lang w:val="en-US"/>
              </w:rPr>
              <w:t>Q</w:t>
            </w:r>
            <w:r w:rsidRPr="00FF6607">
              <w:rPr>
                <w:rFonts w:ascii="Arial Narrow" w:hAnsi="Arial Narrow" w:cs="Arial"/>
                <w:b/>
                <w:bCs/>
                <w:sz w:val="18"/>
                <w:szCs w:val="18"/>
                <w:lang w:val="en-US"/>
              </w:rPr>
              <w:t>uaas</w:t>
            </w:r>
            <w:proofErr w:type="spellEnd"/>
          </w:p>
          <w:p w:rsidR="00FF6607" w:rsidRPr="00FF6607" w:rsidRDefault="00FF6607" w:rsidP="00FF6607">
            <w:pPr>
              <w:jc w:val="left"/>
              <w:rPr>
                <w:rFonts w:ascii="Arial Narrow" w:hAnsi="Arial Narrow" w:cs="Arial"/>
                <w:bCs/>
                <w:sz w:val="18"/>
                <w:szCs w:val="18"/>
                <w:lang w:val="en-US"/>
              </w:rPr>
            </w:pPr>
            <w:r w:rsidRPr="00FF6607">
              <w:rPr>
                <w:rFonts w:ascii="Arial Narrow" w:hAnsi="Arial Narrow" w:cs="Arial"/>
                <w:bCs/>
                <w:sz w:val="18"/>
                <w:szCs w:val="18"/>
                <w:lang w:val="en-US"/>
              </w:rPr>
              <w:t>Director General</w:t>
            </w:r>
          </w:p>
          <w:p w:rsidR="00AB401C" w:rsidRPr="00624B8F" w:rsidRDefault="00AB401C" w:rsidP="00BC25CD">
            <w:pPr>
              <w:jc w:val="left"/>
              <w:rPr>
                <w:rFonts w:ascii="Arial Narrow" w:hAnsi="Arial Narrow" w:cs="Arial"/>
                <w:bCs/>
                <w:sz w:val="18"/>
                <w:szCs w:val="18"/>
              </w:rPr>
            </w:pPr>
          </w:p>
        </w:tc>
      </w:tr>
      <w:tr w:rsidR="00D15EC1" w:rsidRPr="003B17BF" w:rsidTr="00FF6607">
        <w:trPr>
          <w:trHeight w:val="508"/>
        </w:trPr>
        <w:tc>
          <w:tcPr>
            <w:tcW w:w="1829" w:type="dxa"/>
            <w:gridSpan w:val="3"/>
            <w:vAlign w:val="center"/>
            <w:hideMark/>
          </w:tcPr>
          <w:p w:rsidR="00D15EC1" w:rsidRPr="00050BEC" w:rsidRDefault="00D15EC1" w:rsidP="00C63042">
            <w:pPr>
              <w:jc w:val="left"/>
              <w:rPr>
                <w:rFonts w:ascii="Arial Narrow" w:hAnsi="Arial Narrow" w:cs="Arial"/>
                <w:b/>
                <w:bCs/>
                <w:sz w:val="18"/>
                <w:szCs w:val="18"/>
              </w:rPr>
            </w:pPr>
            <w:r>
              <w:rPr>
                <w:rFonts w:ascii="Arial Narrow" w:hAnsi="Arial Narrow" w:cs="Arial"/>
                <w:b/>
                <w:bCs/>
                <w:sz w:val="18"/>
                <w:szCs w:val="18"/>
              </w:rPr>
              <w:t>Relator:</w:t>
            </w:r>
          </w:p>
        </w:tc>
        <w:tc>
          <w:tcPr>
            <w:tcW w:w="2126" w:type="dxa"/>
            <w:gridSpan w:val="3"/>
            <w:shd w:val="clear" w:color="auto" w:fill="FFFFFF" w:themeFill="background1"/>
            <w:vAlign w:val="center"/>
          </w:tcPr>
          <w:p w:rsidR="00D15EC1" w:rsidRPr="00100A0A" w:rsidRDefault="00FF6607" w:rsidP="00BC25CD">
            <w:pPr>
              <w:jc w:val="left"/>
              <w:rPr>
                <w:rFonts w:ascii="Arial Narrow" w:hAnsi="Arial Narrow" w:cs="Arial"/>
                <w:b/>
                <w:bCs/>
                <w:sz w:val="18"/>
                <w:szCs w:val="18"/>
              </w:rPr>
            </w:pPr>
            <w:r>
              <w:rPr>
                <w:rFonts w:ascii="Arial Narrow" w:hAnsi="Arial Narrow" w:cs="Arial"/>
                <w:b/>
                <w:bCs/>
                <w:sz w:val="18"/>
                <w:szCs w:val="18"/>
              </w:rPr>
              <w:t>Organización Panamericana de la Salud</w:t>
            </w:r>
          </w:p>
        </w:tc>
        <w:tc>
          <w:tcPr>
            <w:tcW w:w="5405" w:type="dxa"/>
            <w:gridSpan w:val="5"/>
            <w:shd w:val="clear" w:color="auto" w:fill="FFFFFF" w:themeFill="background1"/>
            <w:vAlign w:val="center"/>
          </w:tcPr>
          <w:p w:rsidR="00D15EC1" w:rsidRPr="00434447" w:rsidRDefault="00AB401C" w:rsidP="00BC25CD">
            <w:pPr>
              <w:jc w:val="left"/>
              <w:rPr>
                <w:rFonts w:ascii="Arial Narrow" w:hAnsi="Arial Narrow" w:cs="Arial"/>
                <w:b/>
                <w:bCs/>
                <w:sz w:val="18"/>
                <w:szCs w:val="18"/>
              </w:rPr>
            </w:pPr>
            <w:r w:rsidRPr="00434447">
              <w:rPr>
                <w:rFonts w:ascii="Arial Narrow" w:hAnsi="Arial Narrow" w:cs="Arial"/>
                <w:b/>
                <w:bCs/>
                <w:sz w:val="18"/>
                <w:szCs w:val="18"/>
              </w:rPr>
              <w:t>Dr. Ciro Ugarte</w:t>
            </w:r>
          </w:p>
          <w:p w:rsidR="00AB401C" w:rsidRPr="00624B8F" w:rsidRDefault="00AB401C" w:rsidP="00AB401C">
            <w:pPr>
              <w:jc w:val="left"/>
              <w:rPr>
                <w:rFonts w:ascii="Arial Narrow" w:hAnsi="Arial Narrow" w:cs="Arial"/>
                <w:bCs/>
                <w:color w:val="000000" w:themeColor="text1"/>
                <w:sz w:val="18"/>
                <w:szCs w:val="18"/>
              </w:rPr>
            </w:pPr>
            <w:r>
              <w:rPr>
                <w:rFonts w:ascii="Arial Narrow" w:hAnsi="Arial Narrow" w:cs="Arial"/>
                <w:bCs/>
                <w:sz w:val="18"/>
                <w:szCs w:val="18"/>
              </w:rPr>
              <w:t>Asesor Regional en Preparativos para Emergencias y Desastres</w:t>
            </w:r>
          </w:p>
        </w:tc>
      </w:tr>
      <w:tr w:rsidR="00D15EC1" w:rsidRPr="003B17BF" w:rsidTr="00FF6607">
        <w:trPr>
          <w:trHeight w:val="418"/>
        </w:trPr>
        <w:tc>
          <w:tcPr>
            <w:tcW w:w="1829" w:type="dxa"/>
            <w:gridSpan w:val="3"/>
            <w:vAlign w:val="center"/>
            <w:hideMark/>
          </w:tcPr>
          <w:p w:rsidR="00D15EC1" w:rsidRPr="00050BEC" w:rsidRDefault="00D15EC1" w:rsidP="00C63042">
            <w:pPr>
              <w:jc w:val="left"/>
              <w:rPr>
                <w:rFonts w:ascii="Arial Narrow" w:hAnsi="Arial Narrow" w:cs="Arial"/>
                <w:b/>
                <w:bCs/>
                <w:sz w:val="18"/>
                <w:szCs w:val="18"/>
              </w:rPr>
            </w:pPr>
            <w:r>
              <w:rPr>
                <w:rFonts w:ascii="Arial Narrow" w:hAnsi="Arial Narrow" w:cs="Arial"/>
                <w:b/>
                <w:bCs/>
                <w:sz w:val="18"/>
                <w:szCs w:val="18"/>
              </w:rPr>
              <w:t>Co-relator</w:t>
            </w:r>
          </w:p>
        </w:tc>
        <w:tc>
          <w:tcPr>
            <w:tcW w:w="2126" w:type="dxa"/>
            <w:gridSpan w:val="3"/>
            <w:shd w:val="clear" w:color="auto" w:fill="FFFFFF" w:themeFill="background1"/>
            <w:vAlign w:val="center"/>
          </w:tcPr>
          <w:p w:rsidR="00D15EC1" w:rsidRPr="00100A0A" w:rsidRDefault="00D15EC1" w:rsidP="00BC25CD">
            <w:pPr>
              <w:jc w:val="left"/>
              <w:rPr>
                <w:rFonts w:ascii="Arial Narrow" w:hAnsi="Arial Narrow" w:cs="Arial"/>
                <w:b/>
                <w:bCs/>
                <w:sz w:val="18"/>
                <w:szCs w:val="18"/>
              </w:rPr>
            </w:pPr>
          </w:p>
        </w:tc>
        <w:tc>
          <w:tcPr>
            <w:tcW w:w="5405" w:type="dxa"/>
            <w:gridSpan w:val="5"/>
            <w:shd w:val="clear" w:color="auto" w:fill="FFFFFF" w:themeFill="background1"/>
            <w:vAlign w:val="center"/>
          </w:tcPr>
          <w:p w:rsidR="00D15EC1" w:rsidRPr="00624B8F" w:rsidRDefault="00D15EC1" w:rsidP="00BC25CD">
            <w:pPr>
              <w:jc w:val="left"/>
              <w:rPr>
                <w:rFonts w:ascii="Arial Narrow" w:hAnsi="Arial Narrow" w:cs="Arial"/>
                <w:bCs/>
                <w:sz w:val="18"/>
                <w:szCs w:val="18"/>
              </w:rPr>
            </w:pPr>
          </w:p>
        </w:tc>
      </w:tr>
      <w:tr w:rsidR="00D15EC1" w:rsidRPr="009D3026" w:rsidTr="00FF6607">
        <w:trPr>
          <w:trHeight w:val="355"/>
        </w:trPr>
        <w:tc>
          <w:tcPr>
            <w:tcW w:w="1829" w:type="dxa"/>
            <w:gridSpan w:val="3"/>
            <w:vAlign w:val="center"/>
            <w:hideMark/>
          </w:tcPr>
          <w:p w:rsidR="00D15EC1" w:rsidRPr="00050BEC" w:rsidRDefault="00D15EC1" w:rsidP="00D84D9F">
            <w:pPr>
              <w:jc w:val="left"/>
              <w:rPr>
                <w:rFonts w:ascii="Arial Narrow" w:hAnsi="Arial Narrow" w:cs="Arial"/>
                <w:b/>
                <w:bCs/>
                <w:sz w:val="18"/>
                <w:szCs w:val="18"/>
              </w:rPr>
            </w:pPr>
            <w:r>
              <w:rPr>
                <w:rFonts w:ascii="Arial Narrow" w:hAnsi="Arial Narrow" w:cs="Arial"/>
                <w:b/>
                <w:bCs/>
                <w:sz w:val="18"/>
                <w:szCs w:val="18"/>
              </w:rPr>
              <w:t>Seguimiento:</w:t>
            </w:r>
          </w:p>
        </w:tc>
        <w:tc>
          <w:tcPr>
            <w:tcW w:w="2126" w:type="dxa"/>
            <w:gridSpan w:val="3"/>
            <w:shd w:val="clear" w:color="auto" w:fill="FFFFFF" w:themeFill="background1"/>
            <w:vAlign w:val="center"/>
          </w:tcPr>
          <w:p w:rsidR="00D15EC1" w:rsidRPr="00FF6607" w:rsidRDefault="00D15EC1" w:rsidP="00BC25CD">
            <w:pPr>
              <w:jc w:val="left"/>
              <w:rPr>
                <w:rFonts w:ascii="Arial Narrow" w:hAnsi="Arial Narrow" w:cs="Arial"/>
                <w:bCs/>
                <w:sz w:val="18"/>
                <w:szCs w:val="18"/>
              </w:rPr>
            </w:pPr>
            <w:r w:rsidRPr="00FF6607">
              <w:rPr>
                <w:rFonts w:ascii="Arial Narrow" w:hAnsi="Arial Narrow" w:cs="Arial"/>
                <w:bCs/>
                <w:sz w:val="18"/>
                <w:szCs w:val="18"/>
              </w:rPr>
              <w:t xml:space="preserve">UNISDR  </w:t>
            </w:r>
          </w:p>
        </w:tc>
        <w:tc>
          <w:tcPr>
            <w:tcW w:w="5405" w:type="dxa"/>
            <w:gridSpan w:val="5"/>
            <w:shd w:val="clear" w:color="auto" w:fill="FFFFFF" w:themeFill="background1"/>
            <w:vAlign w:val="center"/>
          </w:tcPr>
          <w:p w:rsidR="00D15EC1" w:rsidRPr="00FF6607" w:rsidRDefault="0022141C" w:rsidP="00BC25CD">
            <w:pPr>
              <w:jc w:val="left"/>
              <w:rPr>
                <w:rFonts w:ascii="Arial Narrow" w:hAnsi="Arial Narrow" w:cs="Arial"/>
                <w:bCs/>
                <w:sz w:val="18"/>
                <w:szCs w:val="18"/>
                <w:lang w:val="en-US"/>
              </w:rPr>
            </w:pPr>
            <w:r w:rsidRPr="00FF6607">
              <w:rPr>
                <w:rFonts w:ascii="Arial Narrow" w:hAnsi="Arial Narrow" w:cs="Arial"/>
                <w:bCs/>
                <w:sz w:val="18"/>
                <w:szCs w:val="18"/>
                <w:lang w:val="en-US"/>
              </w:rPr>
              <w:t>Jennifer Guralnick</w:t>
            </w:r>
            <w:r w:rsidR="00D15EC1" w:rsidRPr="00FF6607">
              <w:rPr>
                <w:rFonts w:ascii="Arial Narrow" w:hAnsi="Arial Narrow" w:cs="Arial"/>
                <w:bCs/>
                <w:sz w:val="18"/>
                <w:szCs w:val="18"/>
                <w:lang w:val="en-US"/>
              </w:rPr>
              <w:t xml:space="preserve"> </w:t>
            </w:r>
          </w:p>
        </w:tc>
      </w:tr>
      <w:tr w:rsidR="004A68EF" w:rsidRPr="009D3026" w:rsidTr="003E65AB">
        <w:trPr>
          <w:trHeight w:val="181"/>
        </w:trPr>
        <w:tc>
          <w:tcPr>
            <w:tcW w:w="9360" w:type="dxa"/>
            <w:gridSpan w:val="11"/>
            <w:tcBorders>
              <w:bottom w:val="dotted" w:sz="4" w:space="0" w:color="365F91" w:themeColor="accent1" w:themeShade="BF"/>
            </w:tcBorders>
            <w:shd w:val="clear" w:color="auto" w:fill="365F91" w:themeFill="accent1" w:themeFillShade="BF"/>
            <w:vAlign w:val="center"/>
            <w:hideMark/>
          </w:tcPr>
          <w:p w:rsidR="004A68EF" w:rsidRPr="00126A70" w:rsidRDefault="004A68EF" w:rsidP="009D3026">
            <w:pPr>
              <w:jc w:val="center"/>
              <w:rPr>
                <w:rFonts w:ascii="Arial Narrow" w:hAnsi="Arial Narrow" w:cs="Arial"/>
                <w:b/>
                <w:bCs/>
                <w:color w:val="FFFFFF" w:themeColor="background1"/>
                <w:sz w:val="24"/>
                <w:szCs w:val="24"/>
              </w:rPr>
            </w:pPr>
            <w:r w:rsidRPr="00126A70">
              <w:rPr>
                <w:rFonts w:ascii="Arial Narrow" w:hAnsi="Arial Narrow" w:cs="Arial"/>
                <w:b/>
                <w:bCs/>
                <w:color w:val="FFFFFF" w:themeColor="background1"/>
                <w:sz w:val="24"/>
                <w:szCs w:val="24"/>
              </w:rPr>
              <w:t>Agenda</w:t>
            </w:r>
          </w:p>
        </w:tc>
      </w:tr>
      <w:tr w:rsidR="004A68EF" w:rsidRPr="00E902FF" w:rsidTr="003E65AB">
        <w:trPr>
          <w:trHeight w:val="642"/>
        </w:trPr>
        <w:tc>
          <w:tcPr>
            <w:tcW w:w="1080" w:type="dxa"/>
            <w:gridSpan w:val="2"/>
            <w:shd w:val="clear" w:color="auto" w:fill="C6D9F1" w:themeFill="text2" w:themeFillTint="33"/>
            <w:vAlign w:val="center"/>
            <w:hideMark/>
          </w:tcPr>
          <w:p w:rsidR="004A68EF" w:rsidRPr="00E902FF" w:rsidRDefault="004A68EF" w:rsidP="003E65AB">
            <w:pPr>
              <w:jc w:val="center"/>
              <w:rPr>
                <w:rFonts w:ascii="Arial Narrow" w:hAnsi="Arial Narrow" w:cs="Arial"/>
                <w:b/>
                <w:bCs/>
                <w:sz w:val="18"/>
                <w:szCs w:val="18"/>
              </w:rPr>
            </w:pPr>
            <w:r w:rsidRPr="00E902FF">
              <w:rPr>
                <w:rFonts w:ascii="Arial Narrow" w:hAnsi="Arial Narrow" w:cs="Arial"/>
                <w:b/>
                <w:bCs/>
                <w:sz w:val="18"/>
                <w:szCs w:val="18"/>
              </w:rPr>
              <w:t>Tiempo estimado</w:t>
            </w:r>
          </w:p>
        </w:tc>
        <w:tc>
          <w:tcPr>
            <w:tcW w:w="2070" w:type="dxa"/>
            <w:gridSpan w:val="3"/>
            <w:shd w:val="clear" w:color="auto" w:fill="C6D9F1" w:themeFill="text2" w:themeFillTint="33"/>
            <w:vAlign w:val="center"/>
          </w:tcPr>
          <w:p w:rsidR="004A68EF" w:rsidRPr="00E902FF" w:rsidRDefault="004A68EF" w:rsidP="003E65AB">
            <w:pPr>
              <w:jc w:val="center"/>
              <w:rPr>
                <w:rFonts w:ascii="Arial Narrow" w:hAnsi="Arial Narrow" w:cs="Arial"/>
                <w:b/>
                <w:bCs/>
                <w:sz w:val="18"/>
                <w:szCs w:val="18"/>
              </w:rPr>
            </w:pPr>
            <w:r w:rsidRPr="00E902FF">
              <w:rPr>
                <w:rFonts w:ascii="Arial Narrow" w:hAnsi="Arial Narrow" w:cs="Arial"/>
                <w:b/>
                <w:bCs/>
                <w:sz w:val="18"/>
                <w:szCs w:val="18"/>
              </w:rPr>
              <w:t>Ponente</w:t>
            </w:r>
          </w:p>
        </w:tc>
        <w:tc>
          <w:tcPr>
            <w:tcW w:w="2520" w:type="dxa"/>
            <w:gridSpan w:val="3"/>
            <w:shd w:val="clear" w:color="auto" w:fill="C6D9F1" w:themeFill="text2" w:themeFillTint="33"/>
            <w:vAlign w:val="center"/>
          </w:tcPr>
          <w:p w:rsidR="004A68EF" w:rsidRPr="00E902FF" w:rsidRDefault="004A68EF" w:rsidP="003E65AB">
            <w:pPr>
              <w:jc w:val="center"/>
              <w:rPr>
                <w:rFonts w:ascii="Arial Narrow" w:hAnsi="Arial Narrow" w:cs="Arial"/>
                <w:b/>
                <w:bCs/>
                <w:sz w:val="18"/>
                <w:szCs w:val="18"/>
              </w:rPr>
            </w:pPr>
            <w:r w:rsidRPr="00E902FF">
              <w:rPr>
                <w:rFonts w:ascii="Arial Narrow" w:hAnsi="Arial Narrow" w:cs="Arial"/>
                <w:b/>
                <w:bCs/>
                <w:sz w:val="18"/>
                <w:szCs w:val="18"/>
              </w:rPr>
              <w:t>Organismo</w:t>
            </w:r>
          </w:p>
        </w:tc>
        <w:tc>
          <w:tcPr>
            <w:tcW w:w="3690" w:type="dxa"/>
            <w:gridSpan w:val="3"/>
            <w:shd w:val="clear" w:color="auto" w:fill="C6D9F1" w:themeFill="text2" w:themeFillTint="33"/>
            <w:vAlign w:val="center"/>
          </w:tcPr>
          <w:p w:rsidR="004A68EF" w:rsidRPr="00E902FF" w:rsidRDefault="004A68EF" w:rsidP="003E65AB">
            <w:pPr>
              <w:jc w:val="center"/>
              <w:rPr>
                <w:rFonts w:ascii="Arial Narrow" w:hAnsi="Arial Narrow" w:cs="Arial"/>
                <w:b/>
                <w:bCs/>
                <w:sz w:val="18"/>
                <w:szCs w:val="18"/>
              </w:rPr>
            </w:pPr>
            <w:r w:rsidRPr="00E902FF">
              <w:rPr>
                <w:rFonts w:ascii="Arial Narrow" w:hAnsi="Arial Narrow" w:cs="Arial"/>
                <w:b/>
                <w:bCs/>
                <w:sz w:val="18"/>
                <w:szCs w:val="18"/>
              </w:rPr>
              <w:t>Nombre de la ponencia</w:t>
            </w:r>
          </w:p>
        </w:tc>
      </w:tr>
      <w:tr w:rsidR="00AA0CB0" w:rsidRPr="00E902FF" w:rsidTr="00FF6607">
        <w:trPr>
          <w:trHeight w:val="220"/>
        </w:trPr>
        <w:tc>
          <w:tcPr>
            <w:tcW w:w="1080" w:type="dxa"/>
            <w:gridSpan w:val="2"/>
            <w:shd w:val="clear" w:color="auto" w:fill="FFFFFF" w:themeFill="background1"/>
            <w:vAlign w:val="center"/>
            <w:hideMark/>
          </w:tcPr>
          <w:p w:rsidR="00AA0CB0" w:rsidRPr="00A97AEC" w:rsidRDefault="00FF6607" w:rsidP="00080600">
            <w:pPr>
              <w:jc w:val="left"/>
              <w:rPr>
                <w:rFonts w:ascii="Arial Narrow" w:hAnsi="Arial Narrow" w:cs="Arial"/>
                <w:bCs/>
                <w:sz w:val="16"/>
                <w:szCs w:val="16"/>
              </w:rPr>
            </w:pPr>
            <w:r>
              <w:rPr>
                <w:rFonts w:ascii="Arial Narrow" w:hAnsi="Arial Narrow" w:cs="Arial"/>
                <w:bCs/>
                <w:sz w:val="16"/>
                <w:szCs w:val="16"/>
              </w:rPr>
              <w:t>15</w:t>
            </w:r>
            <w:r w:rsidR="00A97AEC" w:rsidRPr="00A97AEC">
              <w:rPr>
                <w:rFonts w:ascii="Arial Narrow" w:hAnsi="Arial Narrow" w:cs="Arial"/>
                <w:bCs/>
                <w:sz w:val="16"/>
                <w:szCs w:val="16"/>
              </w:rPr>
              <w:t xml:space="preserve"> minutos</w:t>
            </w:r>
          </w:p>
        </w:tc>
        <w:tc>
          <w:tcPr>
            <w:tcW w:w="2070" w:type="dxa"/>
            <w:gridSpan w:val="3"/>
            <w:shd w:val="clear" w:color="auto" w:fill="FFFFFF" w:themeFill="background1"/>
            <w:vAlign w:val="center"/>
          </w:tcPr>
          <w:p w:rsidR="00AA0CB0" w:rsidRPr="00E902FF" w:rsidRDefault="00AA0CB0"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Arq. Graciela Oporto</w:t>
            </w:r>
          </w:p>
          <w:p w:rsidR="00AA0CB0" w:rsidRPr="00E902FF" w:rsidRDefault="00AB401C" w:rsidP="00E902FF">
            <w:pPr>
              <w:jc w:val="left"/>
              <w:rPr>
                <w:rFonts w:ascii="Arial Narrow" w:hAnsi="Arial Narrow" w:cs="Arial"/>
                <w:bCs/>
                <w:sz w:val="18"/>
                <w:szCs w:val="18"/>
                <w:lang w:val="es-ES_tradnl"/>
              </w:rPr>
            </w:pPr>
            <w:r w:rsidRPr="00E902FF">
              <w:rPr>
                <w:rFonts w:ascii="Arial Narrow" w:hAnsi="Arial Narrow" w:cs="Arial"/>
                <w:bCs/>
                <w:sz w:val="18"/>
                <w:szCs w:val="18"/>
                <w:lang w:val="es-ES_tradnl"/>
              </w:rPr>
              <w:t>Subsecretaria</w:t>
            </w:r>
          </w:p>
        </w:tc>
        <w:tc>
          <w:tcPr>
            <w:tcW w:w="2520" w:type="dxa"/>
            <w:gridSpan w:val="3"/>
            <w:shd w:val="clear" w:color="auto" w:fill="FFFFFF" w:themeFill="background1"/>
            <w:vAlign w:val="center"/>
          </w:tcPr>
          <w:p w:rsidR="00AA0CB0" w:rsidRPr="00E902FF" w:rsidRDefault="00AA0CB0" w:rsidP="00E902FF">
            <w:pPr>
              <w:jc w:val="left"/>
              <w:rPr>
                <w:rFonts w:ascii="Arial Narrow" w:hAnsi="Arial Narrow" w:cs="Arial"/>
                <w:b/>
                <w:bCs/>
                <w:sz w:val="18"/>
                <w:szCs w:val="18"/>
                <w:lang w:val="es-ES_tradnl"/>
              </w:rPr>
            </w:pPr>
            <w:r w:rsidRPr="00E902FF">
              <w:rPr>
                <w:rFonts w:ascii="Arial Narrow" w:hAnsi="Arial Narrow" w:cs="Arial"/>
                <w:bCs/>
                <w:sz w:val="18"/>
                <w:szCs w:val="18"/>
                <w:lang w:val="es-ES_tradnl"/>
              </w:rPr>
              <w:t>Subsecretaría de Planificación Territorial de la Inversión Pública.</w:t>
            </w:r>
            <w:r w:rsidRPr="00E902FF">
              <w:rPr>
                <w:rFonts w:ascii="Arial Narrow" w:hAnsi="Arial Narrow" w:cs="Arial"/>
                <w:b/>
                <w:bCs/>
                <w:sz w:val="18"/>
                <w:szCs w:val="18"/>
                <w:lang w:val="es-ES_tradnl"/>
              </w:rPr>
              <w:t xml:space="preserve"> Argentina</w:t>
            </w:r>
          </w:p>
        </w:tc>
        <w:tc>
          <w:tcPr>
            <w:tcW w:w="3690" w:type="dxa"/>
            <w:gridSpan w:val="3"/>
            <w:shd w:val="clear" w:color="auto" w:fill="FFFFFF" w:themeFill="background1"/>
          </w:tcPr>
          <w:p w:rsidR="00AA0CB0" w:rsidRPr="00E902FF" w:rsidRDefault="00AA0CB0" w:rsidP="00E902FF">
            <w:pPr>
              <w:pStyle w:val="ListParagraph"/>
              <w:numPr>
                <w:ilvl w:val="0"/>
                <w:numId w:val="25"/>
              </w:numPr>
              <w:ind w:left="162" w:hanging="180"/>
              <w:jc w:val="left"/>
              <w:rPr>
                <w:rFonts w:ascii="Arial Narrow" w:hAnsi="Arial Narrow" w:cs="Arial"/>
                <w:b/>
                <w:bCs/>
                <w:sz w:val="18"/>
                <w:szCs w:val="18"/>
                <w:lang w:val="es-ES_tradnl"/>
              </w:rPr>
            </w:pPr>
            <w:r w:rsidRPr="00E902FF">
              <w:rPr>
                <w:rFonts w:ascii="Arial Narrow" w:hAnsi="Arial Narrow" w:cs="Arial"/>
                <w:b/>
                <w:bCs/>
                <w:sz w:val="18"/>
                <w:szCs w:val="18"/>
                <w:lang w:val="es-ES_tradnl"/>
              </w:rPr>
              <w:t>El Riesgo de Desastres en la Planificación Territorial</w:t>
            </w:r>
          </w:p>
        </w:tc>
      </w:tr>
      <w:tr w:rsidR="00A97AEC" w:rsidRPr="00E902FF" w:rsidTr="00FF6607">
        <w:trPr>
          <w:trHeight w:val="398"/>
        </w:trPr>
        <w:tc>
          <w:tcPr>
            <w:tcW w:w="1080" w:type="dxa"/>
            <w:gridSpan w:val="2"/>
            <w:shd w:val="clear" w:color="auto" w:fill="FFFFFF" w:themeFill="background1"/>
            <w:vAlign w:val="center"/>
            <w:hideMark/>
          </w:tcPr>
          <w:p w:rsidR="00A97AEC" w:rsidRPr="00A97AEC" w:rsidRDefault="00FF6607" w:rsidP="00080600">
            <w:pPr>
              <w:jc w:val="left"/>
              <w:rPr>
                <w:rFonts w:ascii="Arial Narrow" w:hAnsi="Arial Narrow" w:cs="Arial"/>
                <w:bCs/>
                <w:sz w:val="16"/>
                <w:szCs w:val="16"/>
              </w:rPr>
            </w:pPr>
            <w:r>
              <w:rPr>
                <w:rFonts w:ascii="Arial Narrow" w:hAnsi="Arial Narrow" w:cs="Arial"/>
                <w:bCs/>
                <w:sz w:val="16"/>
                <w:szCs w:val="16"/>
              </w:rPr>
              <w:t>15</w:t>
            </w:r>
            <w:r w:rsidR="00A97AEC" w:rsidRPr="00A97AEC">
              <w:rPr>
                <w:rFonts w:ascii="Arial Narrow" w:hAnsi="Arial Narrow" w:cs="Arial"/>
                <w:bCs/>
                <w:sz w:val="16"/>
                <w:szCs w:val="16"/>
              </w:rPr>
              <w:t xml:space="preserve"> minutos</w:t>
            </w:r>
          </w:p>
        </w:tc>
        <w:tc>
          <w:tcPr>
            <w:tcW w:w="2070" w:type="dxa"/>
            <w:gridSpan w:val="3"/>
            <w:shd w:val="clear" w:color="auto" w:fill="FFFFFF" w:themeFill="background1"/>
            <w:vAlign w:val="center"/>
          </w:tcPr>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Ing. Luis Enrique García</w:t>
            </w:r>
          </w:p>
          <w:p w:rsidR="00A97AEC" w:rsidRPr="00E902FF" w:rsidRDefault="00A97AEC" w:rsidP="00E902FF">
            <w:pPr>
              <w:jc w:val="left"/>
              <w:rPr>
                <w:rFonts w:ascii="Arial Narrow" w:hAnsi="Arial Narrow" w:cs="Arial"/>
                <w:bCs/>
                <w:sz w:val="18"/>
                <w:szCs w:val="18"/>
                <w:lang w:val="es-ES_tradnl"/>
              </w:rPr>
            </w:pPr>
            <w:r w:rsidRPr="00E902FF">
              <w:rPr>
                <w:rFonts w:ascii="Arial Narrow" w:hAnsi="Arial Narrow" w:cs="Arial"/>
                <w:bCs/>
                <w:sz w:val="18"/>
                <w:szCs w:val="18"/>
                <w:lang w:val="es-ES_tradnl"/>
              </w:rPr>
              <w:t xml:space="preserve">Ingeniero Estructural </w:t>
            </w:r>
          </w:p>
        </w:tc>
        <w:tc>
          <w:tcPr>
            <w:tcW w:w="2520" w:type="dxa"/>
            <w:gridSpan w:val="3"/>
            <w:shd w:val="clear" w:color="auto" w:fill="FFFFFF" w:themeFill="background1"/>
            <w:vAlign w:val="center"/>
          </w:tcPr>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Cs/>
                <w:sz w:val="18"/>
                <w:szCs w:val="18"/>
                <w:lang w:val="es-ES_tradnl"/>
              </w:rPr>
              <w:t>Asociación Colombiana de Ingeniería Sísmica.</w:t>
            </w:r>
            <w:r w:rsidRPr="00E902FF">
              <w:rPr>
                <w:rFonts w:ascii="Arial Narrow" w:hAnsi="Arial Narrow" w:cs="Arial"/>
                <w:b/>
                <w:bCs/>
                <w:sz w:val="18"/>
                <w:szCs w:val="18"/>
                <w:lang w:val="es-ES_tradnl"/>
              </w:rPr>
              <w:t xml:space="preserve"> </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Colombia</w:t>
            </w:r>
          </w:p>
        </w:tc>
        <w:tc>
          <w:tcPr>
            <w:tcW w:w="3690" w:type="dxa"/>
            <w:gridSpan w:val="3"/>
            <w:shd w:val="clear" w:color="auto" w:fill="FFFFFF" w:themeFill="background1"/>
          </w:tcPr>
          <w:p w:rsidR="00A97AEC" w:rsidRPr="00E902FF" w:rsidRDefault="00A97AEC" w:rsidP="00E902FF">
            <w:pPr>
              <w:pStyle w:val="ListParagraph"/>
              <w:numPr>
                <w:ilvl w:val="0"/>
                <w:numId w:val="25"/>
              </w:numPr>
              <w:ind w:left="162" w:hanging="180"/>
              <w:jc w:val="left"/>
              <w:rPr>
                <w:rFonts w:ascii="Arial Narrow" w:hAnsi="Arial Narrow" w:cs="Arial"/>
                <w:b/>
                <w:bCs/>
                <w:sz w:val="18"/>
                <w:szCs w:val="18"/>
                <w:lang w:val="es-ES_tradnl"/>
              </w:rPr>
            </w:pPr>
            <w:r w:rsidRPr="00E902FF">
              <w:rPr>
                <w:rFonts w:ascii="Arial Narrow" w:hAnsi="Arial Narrow" w:cs="Arial"/>
                <w:b/>
                <w:bCs/>
                <w:sz w:val="18"/>
                <w:szCs w:val="18"/>
                <w:lang w:val="es-ES_tradnl"/>
              </w:rPr>
              <w:t>Nuevas normas para garantizar los servicios críticos en desastres</w:t>
            </w:r>
          </w:p>
        </w:tc>
      </w:tr>
      <w:tr w:rsidR="00A97AEC" w:rsidRPr="00E902FF" w:rsidTr="00FF6607">
        <w:trPr>
          <w:trHeight w:val="706"/>
        </w:trPr>
        <w:tc>
          <w:tcPr>
            <w:tcW w:w="1080" w:type="dxa"/>
            <w:gridSpan w:val="2"/>
            <w:shd w:val="clear" w:color="auto" w:fill="FFFFFF" w:themeFill="background1"/>
            <w:vAlign w:val="center"/>
            <w:hideMark/>
          </w:tcPr>
          <w:p w:rsidR="00A97AEC" w:rsidRPr="00A97AEC" w:rsidRDefault="00FF6607" w:rsidP="00080600">
            <w:pPr>
              <w:jc w:val="left"/>
              <w:rPr>
                <w:rFonts w:ascii="Arial Narrow" w:hAnsi="Arial Narrow" w:cs="Arial"/>
                <w:bCs/>
                <w:sz w:val="16"/>
                <w:szCs w:val="16"/>
              </w:rPr>
            </w:pPr>
            <w:r>
              <w:rPr>
                <w:rFonts w:ascii="Arial Narrow" w:hAnsi="Arial Narrow" w:cs="Arial"/>
                <w:bCs/>
                <w:sz w:val="16"/>
                <w:szCs w:val="16"/>
              </w:rPr>
              <w:t>15</w:t>
            </w:r>
            <w:r w:rsidR="00A97AEC" w:rsidRPr="00A97AEC">
              <w:rPr>
                <w:rFonts w:ascii="Arial Narrow" w:hAnsi="Arial Narrow" w:cs="Arial"/>
                <w:bCs/>
                <w:sz w:val="16"/>
                <w:szCs w:val="16"/>
              </w:rPr>
              <w:t xml:space="preserve"> minutos</w:t>
            </w:r>
          </w:p>
        </w:tc>
        <w:tc>
          <w:tcPr>
            <w:tcW w:w="2070" w:type="dxa"/>
            <w:gridSpan w:val="3"/>
            <w:shd w:val="clear" w:color="auto" w:fill="FFFFFF" w:themeFill="background1"/>
          </w:tcPr>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Sr. Terence Walters</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Cs/>
                <w:sz w:val="18"/>
                <w:szCs w:val="18"/>
                <w:lang w:val="es-ES_tradnl"/>
              </w:rPr>
              <w:t>Coordinador Adjunto en Desastre</w:t>
            </w:r>
          </w:p>
        </w:tc>
        <w:tc>
          <w:tcPr>
            <w:tcW w:w="2520" w:type="dxa"/>
            <w:gridSpan w:val="3"/>
            <w:shd w:val="clear" w:color="auto" w:fill="FFFFFF" w:themeFill="background1"/>
            <w:vAlign w:val="center"/>
          </w:tcPr>
          <w:p w:rsidR="00A97AEC" w:rsidRPr="00E902FF" w:rsidRDefault="00A97AEC" w:rsidP="00E902FF">
            <w:pPr>
              <w:jc w:val="left"/>
              <w:rPr>
                <w:rFonts w:ascii="Arial Narrow" w:hAnsi="Arial Narrow" w:cs="Arial"/>
                <w:bCs/>
                <w:sz w:val="18"/>
                <w:szCs w:val="18"/>
                <w:lang w:val="es-ES_tradnl"/>
              </w:rPr>
            </w:pPr>
            <w:r w:rsidRPr="00E902FF">
              <w:rPr>
                <w:rFonts w:ascii="Arial Narrow" w:hAnsi="Arial Narrow" w:cs="Arial"/>
                <w:bCs/>
                <w:sz w:val="18"/>
                <w:szCs w:val="18"/>
                <w:lang w:val="es-ES_tradnl"/>
              </w:rPr>
              <w:t xml:space="preserve">Agencia Nacional de Gestión de desastres. </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Granada</w:t>
            </w:r>
          </w:p>
        </w:tc>
        <w:tc>
          <w:tcPr>
            <w:tcW w:w="3690" w:type="dxa"/>
            <w:gridSpan w:val="3"/>
            <w:shd w:val="clear" w:color="auto" w:fill="FFFFFF" w:themeFill="background1"/>
          </w:tcPr>
          <w:p w:rsidR="00A97AEC" w:rsidRPr="00E902FF" w:rsidRDefault="00A97AEC" w:rsidP="00E902FF">
            <w:pPr>
              <w:pStyle w:val="ListParagraph"/>
              <w:numPr>
                <w:ilvl w:val="0"/>
                <w:numId w:val="25"/>
              </w:numPr>
              <w:ind w:left="162" w:hanging="180"/>
              <w:rPr>
                <w:rFonts w:ascii="Arial Narrow" w:hAnsi="Arial Narrow" w:cs="Arial"/>
                <w:b/>
                <w:bCs/>
                <w:sz w:val="18"/>
                <w:szCs w:val="18"/>
                <w:lang w:val="es-ES_tradnl"/>
              </w:rPr>
            </w:pPr>
            <w:r w:rsidRPr="00E902FF">
              <w:rPr>
                <w:rFonts w:ascii="Arial Narrow" w:hAnsi="Arial Narrow" w:cs="Arial"/>
                <w:b/>
                <w:bCs/>
                <w:sz w:val="18"/>
                <w:szCs w:val="18"/>
                <w:lang w:val="es-ES_tradnl"/>
              </w:rPr>
              <w:t>Evaluación de la capacidad sectorial en reducción de Riesgo de Desastres</w:t>
            </w:r>
          </w:p>
        </w:tc>
      </w:tr>
      <w:tr w:rsidR="00A97AEC" w:rsidRPr="00E902FF" w:rsidTr="00FF6607">
        <w:trPr>
          <w:trHeight w:val="625"/>
        </w:trPr>
        <w:tc>
          <w:tcPr>
            <w:tcW w:w="1080" w:type="dxa"/>
            <w:gridSpan w:val="2"/>
            <w:shd w:val="clear" w:color="auto" w:fill="FFFFFF" w:themeFill="background1"/>
            <w:vAlign w:val="center"/>
            <w:hideMark/>
          </w:tcPr>
          <w:p w:rsidR="00A97AEC" w:rsidRPr="00A97AEC" w:rsidRDefault="00FF6607" w:rsidP="00080600">
            <w:pPr>
              <w:jc w:val="left"/>
              <w:rPr>
                <w:rFonts w:ascii="Arial Narrow" w:hAnsi="Arial Narrow" w:cs="Arial"/>
                <w:bCs/>
                <w:sz w:val="16"/>
                <w:szCs w:val="16"/>
              </w:rPr>
            </w:pPr>
            <w:r>
              <w:rPr>
                <w:rFonts w:ascii="Arial Narrow" w:hAnsi="Arial Narrow" w:cs="Arial"/>
                <w:bCs/>
                <w:sz w:val="16"/>
                <w:szCs w:val="16"/>
              </w:rPr>
              <w:t>15</w:t>
            </w:r>
            <w:r w:rsidR="00A97AEC" w:rsidRPr="00A97AEC">
              <w:rPr>
                <w:rFonts w:ascii="Arial Narrow" w:hAnsi="Arial Narrow" w:cs="Arial"/>
                <w:bCs/>
                <w:sz w:val="16"/>
                <w:szCs w:val="16"/>
              </w:rPr>
              <w:t xml:space="preserve"> minutos</w:t>
            </w:r>
          </w:p>
        </w:tc>
        <w:tc>
          <w:tcPr>
            <w:tcW w:w="2070" w:type="dxa"/>
            <w:gridSpan w:val="3"/>
            <w:shd w:val="clear" w:color="auto" w:fill="FFFFFF" w:themeFill="background1"/>
            <w:vAlign w:val="center"/>
          </w:tcPr>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Dr. Víctor Choquehuanca</w:t>
            </w:r>
          </w:p>
          <w:p w:rsidR="00A97AEC" w:rsidRPr="00E902FF" w:rsidRDefault="00A97AEC" w:rsidP="00E902FF">
            <w:pPr>
              <w:jc w:val="left"/>
              <w:rPr>
                <w:rFonts w:ascii="Arial Narrow" w:hAnsi="Arial Narrow" w:cs="Arial"/>
                <w:bCs/>
                <w:sz w:val="18"/>
                <w:szCs w:val="18"/>
                <w:lang w:val="es-ES_tradnl"/>
              </w:rPr>
            </w:pPr>
            <w:r w:rsidRPr="00E902FF">
              <w:rPr>
                <w:rFonts w:ascii="Arial Narrow" w:hAnsi="Arial Narrow" w:cs="Arial"/>
                <w:bCs/>
                <w:sz w:val="18"/>
                <w:szCs w:val="18"/>
                <w:lang w:val="es-ES_tradnl"/>
              </w:rPr>
              <w:t>Director General</w:t>
            </w:r>
          </w:p>
        </w:tc>
        <w:tc>
          <w:tcPr>
            <w:tcW w:w="2520" w:type="dxa"/>
            <w:gridSpan w:val="3"/>
            <w:shd w:val="clear" w:color="auto" w:fill="FFFFFF" w:themeFill="background1"/>
            <w:vAlign w:val="center"/>
          </w:tcPr>
          <w:p w:rsidR="00A97AEC" w:rsidRPr="00E902FF" w:rsidRDefault="00A97AEC" w:rsidP="00E902FF">
            <w:pPr>
              <w:jc w:val="left"/>
              <w:rPr>
                <w:rFonts w:ascii="Arial Narrow" w:hAnsi="Arial Narrow" w:cs="Arial"/>
                <w:bCs/>
                <w:sz w:val="18"/>
                <w:szCs w:val="18"/>
                <w:lang w:val="es-ES_tradnl"/>
              </w:rPr>
            </w:pPr>
            <w:r w:rsidRPr="00E902FF">
              <w:rPr>
                <w:rFonts w:ascii="Arial Narrow" w:hAnsi="Arial Narrow" w:cs="Arial"/>
                <w:bCs/>
                <w:sz w:val="18"/>
                <w:szCs w:val="18"/>
                <w:lang w:val="es-ES_tradnl"/>
              </w:rPr>
              <w:t xml:space="preserve">Ministerio de Salud. </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Perú</w:t>
            </w:r>
          </w:p>
        </w:tc>
        <w:tc>
          <w:tcPr>
            <w:tcW w:w="3690" w:type="dxa"/>
            <w:gridSpan w:val="3"/>
            <w:shd w:val="clear" w:color="auto" w:fill="FFFFFF" w:themeFill="background1"/>
          </w:tcPr>
          <w:p w:rsidR="00A97AEC" w:rsidRPr="00E902FF" w:rsidRDefault="00A97AEC" w:rsidP="00E902FF">
            <w:pPr>
              <w:pStyle w:val="ListParagraph"/>
              <w:numPr>
                <w:ilvl w:val="0"/>
                <w:numId w:val="25"/>
              </w:numPr>
              <w:ind w:left="162" w:hanging="180"/>
              <w:jc w:val="left"/>
              <w:rPr>
                <w:rFonts w:ascii="Arial Narrow" w:hAnsi="Arial Narrow" w:cs="Arial"/>
                <w:b/>
                <w:bCs/>
                <w:sz w:val="18"/>
                <w:szCs w:val="18"/>
                <w:lang w:val="es-ES_tradnl"/>
              </w:rPr>
            </w:pPr>
            <w:r w:rsidRPr="00E902FF">
              <w:rPr>
                <w:rFonts w:ascii="Arial Narrow" w:hAnsi="Arial Narrow" w:cs="Arial"/>
                <w:b/>
                <w:bCs/>
                <w:sz w:val="18"/>
                <w:szCs w:val="18"/>
                <w:lang w:val="es-ES_tradnl"/>
              </w:rPr>
              <w:t>Retos y avances en la implementación de un plan de acción sectorial al 2015</w:t>
            </w:r>
          </w:p>
        </w:tc>
      </w:tr>
      <w:tr w:rsidR="00A97AEC" w:rsidRPr="00E902FF" w:rsidTr="00FF6607">
        <w:trPr>
          <w:trHeight w:val="220"/>
        </w:trPr>
        <w:tc>
          <w:tcPr>
            <w:tcW w:w="1080" w:type="dxa"/>
            <w:gridSpan w:val="2"/>
            <w:shd w:val="clear" w:color="auto" w:fill="FFFFFF" w:themeFill="background1"/>
            <w:vAlign w:val="center"/>
            <w:hideMark/>
          </w:tcPr>
          <w:p w:rsidR="00A97AEC" w:rsidRPr="00A97AEC" w:rsidRDefault="00FF6607" w:rsidP="00080600">
            <w:pPr>
              <w:jc w:val="left"/>
              <w:rPr>
                <w:rFonts w:ascii="Arial Narrow" w:hAnsi="Arial Narrow" w:cs="Arial"/>
                <w:bCs/>
                <w:sz w:val="16"/>
                <w:szCs w:val="16"/>
              </w:rPr>
            </w:pPr>
            <w:r>
              <w:rPr>
                <w:rFonts w:ascii="Arial Narrow" w:hAnsi="Arial Narrow" w:cs="Arial"/>
                <w:bCs/>
                <w:sz w:val="16"/>
                <w:szCs w:val="16"/>
              </w:rPr>
              <w:t>15</w:t>
            </w:r>
            <w:r w:rsidR="00A97AEC" w:rsidRPr="00A97AEC">
              <w:rPr>
                <w:rFonts w:ascii="Arial Narrow" w:hAnsi="Arial Narrow" w:cs="Arial"/>
                <w:bCs/>
                <w:sz w:val="16"/>
                <w:szCs w:val="16"/>
              </w:rPr>
              <w:t xml:space="preserve"> minutos</w:t>
            </w:r>
          </w:p>
        </w:tc>
        <w:tc>
          <w:tcPr>
            <w:tcW w:w="2070" w:type="dxa"/>
            <w:gridSpan w:val="3"/>
            <w:shd w:val="clear" w:color="auto" w:fill="FFFFFF" w:themeFill="background1"/>
            <w:vAlign w:val="center"/>
          </w:tcPr>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Dr. Felipe Cruz Vega</w:t>
            </w:r>
          </w:p>
          <w:p w:rsidR="00A97AEC" w:rsidRPr="00D92C42" w:rsidRDefault="00A97AEC" w:rsidP="00E902FF">
            <w:pPr>
              <w:jc w:val="left"/>
              <w:rPr>
                <w:rFonts w:ascii="Arial Narrow" w:hAnsi="Arial Narrow" w:cs="Arial"/>
                <w:bCs/>
                <w:sz w:val="18"/>
                <w:szCs w:val="18"/>
                <w:lang w:val="es-ES_tradnl"/>
              </w:rPr>
            </w:pPr>
            <w:r w:rsidRPr="00D92C42">
              <w:rPr>
                <w:rFonts w:ascii="Arial Narrow" w:hAnsi="Arial Narrow" w:cs="Arial"/>
                <w:bCs/>
                <w:sz w:val="18"/>
                <w:szCs w:val="18"/>
                <w:lang w:val="es-ES_tradnl"/>
              </w:rPr>
              <w:t>Jefe de División</w:t>
            </w:r>
          </w:p>
          <w:p w:rsidR="00A97AEC" w:rsidRPr="00E902FF" w:rsidRDefault="00A97AEC" w:rsidP="00E902FF">
            <w:pPr>
              <w:jc w:val="left"/>
              <w:rPr>
                <w:rFonts w:ascii="Arial Narrow" w:hAnsi="Arial Narrow" w:cs="Arial"/>
                <w:b/>
                <w:bCs/>
                <w:sz w:val="18"/>
                <w:szCs w:val="18"/>
                <w:lang w:val="es-ES_tradnl"/>
              </w:rPr>
            </w:pPr>
          </w:p>
        </w:tc>
        <w:tc>
          <w:tcPr>
            <w:tcW w:w="2520" w:type="dxa"/>
            <w:gridSpan w:val="3"/>
            <w:shd w:val="clear" w:color="auto" w:fill="FFFFFF" w:themeFill="background1"/>
            <w:vAlign w:val="center"/>
          </w:tcPr>
          <w:p w:rsidR="00A97AEC" w:rsidRPr="00D92C42" w:rsidRDefault="00A97AEC" w:rsidP="00E902FF">
            <w:pPr>
              <w:jc w:val="left"/>
              <w:rPr>
                <w:rFonts w:ascii="Arial Narrow" w:hAnsi="Arial Narrow" w:cs="Arial"/>
                <w:bCs/>
                <w:sz w:val="18"/>
                <w:szCs w:val="18"/>
                <w:lang w:val="es-ES_tradnl"/>
              </w:rPr>
            </w:pPr>
            <w:r w:rsidRPr="00D92C42">
              <w:rPr>
                <w:rFonts w:ascii="Arial Narrow" w:hAnsi="Arial Narrow" w:cs="Arial"/>
                <w:bCs/>
                <w:sz w:val="18"/>
                <w:szCs w:val="18"/>
                <w:lang w:val="es-ES_tradnl"/>
              </w:rPr>
              <w:t>Instituto Mexicano del Seguro Social.</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México</w:t>
            </w:r>
          </w:p>
        </w:tc>
        <w:tc>
          <w:tcPr>
            <w:tcW w:w="3690" w:type="dxa"/>
            <w:gridSpan w:val="3"/>
            <w:shd w:val="clear" w:color="auto" w:fill="FFFFFF" w:themeFill="background1"/>
          </w:tcPr>
          <w:p w:rsidR="00A97AEC" w:rsidRPr="00E902FF" w:rsidRDefault="00A97AEC" w:rsidP="00E902FF">
            <w:pPr>
              <w:pStyle w:val="ListParagraph"/>
              <w:numPr>
                <w:ilvl w:val="0"/>
                <w:numId w:val="25"/>
              </w:numPr>
              <w:ind w:left="162" w:hanging="180"/>
              <w:jc w:val="left"/>
              <w:rPr>
                <w:rFonts w:ascii="Arial Narrow" w:hAnsi="Arial Narrow" w:cs="Arial"/>
                <w:b/>
                <w:bCs/>
                <w:sz w:val="18"/>
                <w:szCs w:val="18"/>
                <w:lang w:val="es-ES_tradnl"/>
              </w:rPr>
            </w:pPr>
            <w:r w:rsidRPr="00E902FF">
              <w:rPr>
                <w:rFonts w:ascii="Arial Narrow" w:hAnsi="Arial Narrow" w:cs="Arial"/>
                <w:b/>
                <w:bCs/>
                <w:sz w:val="18"/>
                <w:szCs w:val="18"/>
                <w:lang w:val="es-ES_tradnl"/>
              </w:rPr>
              <w:t>Experiencias en la intervención de infraestructura crítica existente.</w:t>
            </w:r>
          </w:p>
        </w:tc>
      </w:tr>
      <w:tr w:rsidR="00A97AEC" w:rsidRPr="00E902FF" w:rsidTr="00FF6607">
        <w:trPr>
          <w:trHeight w:val="220"/>
        </w:trPr>
        <w:tc>
          <w:tcPr>
            <w:tcW w:w="1080" w:type="dxa"/>
            <w:gridSpan w:val="2"/>
            <w:shd w:val="clear" w:color="auto" w:fill="FFFFFF" w:themeFill="background1"/>
            <w:vAlign w:val="center"/>
            <w:hideMark/>
          </w:tcPr>
          <w:p w:rsidR="00A97AEC" w:rsidRPr="00A97AEC" w:rsidRDefault="00FF6607" w:rsidP="00080600">
            <w:pPr>
              <w:jc w:val="left"/>
              <w:rPr>
                <w:rFonts w:ascii="Arial Narrow" w:hAnsi="Arial Narrow" w:cs="Arial"/>
                <w:bCs/>
                <w:sz w:val="16"/>
                <w:szCs w:val="16"/>
              </w:rPr>
            </w:pPr>
            <w:r>
              <w:rPr>
                <w:rFonts w:ascii="Arial Narrow" w:hAnsi="Arial Narrow" w:cs="Arial"/>
                <w:bCs/>
                <w:sz w:val="16"/>
                <w:szCs w:val="16"/>
              </w:rPr>
              <w:t>15</w:t>
            </w:r>
            <w:r w:rsidR="00A97AEC" w:rsidRPr="00A97AEC">
              <w:rPr>
                <w:rFonts w:ascii="Arial Narrow" w:hAnsi="Arial Narrow" w:cs="Arial"/>
                <w:bCs/>
                <w:sz w:val="16"/>
                <w:szCs w:val="16"/>
              </w:rPr>
              <w:t xml:space="preserve"> minutos</w:t>
            </w:r>
          </w:p>
        </w:tc>
        <w:tc>
          <w:tcPr>
            <w:tcW w:w="2070" w:type="dxa"/>
            <w:gridSpan w:val="3"/>
            <w:shd w:val="clear" w:color="auto" w:fill="FFFFFF" w:themeFill="background1"/>
            <w:vAlign w:val="center"/>
          </w:tcPr>
          <w:p w:rsidR="00FF6607" w:rsidRDefault="00FF6607" w:rsidP="00E94F4D">
            <w:pPr>
              <w:rPr>
                <w:rFonts w:ascii="Arial Narrow" w:hAnsi="Arial Narrow" w:cs="Arial"/>
                <w:b/>
                <w:bCs/>
                <w:sz w:val="18"/>
                <w:szCs w:val="18"/>
                <w:lang w:val="es-ES_tradnl"/>
              </w:rPr>
            </w:pPr>
            <w:r>
              <w:rPr>
                <w:rFonts w:ascii="Arial Narrow" w:hAnsi="Arial Narrow" w:cs="Arial"/>
                <w:b/>
                <w:bCs/>
                <w:sz w:val="18"/>
                <w:szCs w:val="18"/>
                <w:lang w:val="es-ES_tradnl"/>
              </w:rPr>
              <w:t>Lic. Gloria Luz Ortiz</w:t>
            </w:r>
          </w:p>
          <w:p w:rsidR="00A97AEC" w:rsidRPr="00434447" w:rsidRDefault="00A97AEC" w:rsidP="00E94F4D">
            <w:pPr>
              <w:rPr>
                <w:rFonts w:ascii="Arial Narrow" w:hAnsi="Arial Narrow" w:cs="Arial"/>
                <w:bCs/>
                <w:sz w:val="18"/>
                <w:szCs w:val="18"/>
                <w:lang w:val="es-ES_tradnl"/>
              </w:rPr>
            </w:pPr>
            <w:r w:rsidRPr="00D92C42">
              <w:rPr>
                <w:rFonts w:ascii="Arial Narrow" w:hAnsi="Arial Narrow" w:cs="Arial"/>
                <w:bCs/>
                <w:sz w:val="18"/>
                <w:szCs w:val="18"/>
                <w:lang w:val="es-ES_tradnl"/>
              </w:rPr>
              <w:t>Di</w:t>
            </w:r>
            <w:r w:rsidR="00FF6607">
              <w:rPr>
                <w:rFonts w:ascii="Arial Narrow" w:hAnsi="Arial Narrow" w:cs="Arial"/>
                <w:bCs/>
                <w:sz w:val="18"/>
                <w:szCs w:val="18"/>
                <w:lang w:val="es-ES_tradnl"/>
              </w:rPr>
              <w:t>rectora de Capacitación</w:t>
            </w:r>
          </w:p>
        </w:tc>
        <w:tc>
          <w:tcPr>
            <w:tcW w:w="2520" w:type="dxa"/>
            <w:gridSpan w:val="3"/>
            <w:shd w:val="clear" w:color="auto" w:fill="FFFFFF" w:themeFill="background1"/>
            <w:vAlign w:val="center"/>
          </w:tcPr>
          <w:p w:rsidR="00A97AEC" w:rsidRPr="00D92C42" w:rsidRDefault="00FF6607" w:rsidP="00E902FF">
            <w:pPr>
              <w:jc w:val="left"/>
              <w:rPr>
                <w:rFonts w:ascii="Arial Narrow" w:hAnsi="Arial Narrow" w:cs="Arial"/>
                <w:bCs/>
                <w:sz w:val="18"/>
                <w:szCs w:val="18"/>
                <w:lang w:val="es-ES_tradnl"/>
              </w:rPr>
            </w:pPr>
            <w:r>
              <w:rPr>
                <w:rFonts w:ascii="Arial Narrow" w:hAnsi="Arial Narrow" w:cs="Arial"/>
                <w:bCs/>
                <w:sz w:val="18"/>
                <w:szCs w:val="18"/>
                <w:lang w:val="es-ES_tradnl"/>
              </w:rPr>
              <w:t>Centro Nacional de Prevención de Desastres</w:t>
            </w:r>
            <w:r w:rsidR="00A97AEC" w:rsidRPr="00D92C42">
              <w:rPr>
                <w:rFonts w:ascii="Arial Narrow" w:hAnsi="Arial Narrow" w:cs="Arial"/>
                <w:bCs/>
                <w:sz w:val="18"/>
                <w:szCs w:val="18"/>
                <w:lang w:val="es-ES_tradnl"/>
              </w:rPr>
              <w:t xml:space="preserve">. </w:t>
            </w:r>
          </w:p>
          <w:p w:rsidR="00A97AEC" w:rsidRPr="00FF6607" w:rsidRDefault="00FF6607" w:rsidP="00E902FF">
            <w:pPr>
              <w:jc w:val="left"/>
              <w:rPr>
                <w:rFonts w:ascii="Arial Narrow" w:hAnsi="Arial Narrow" w:cs="Arial"/>
                <w:b/>
                <w:bCs/>
                <w:sz w:val="18"/>
                <w:szCs w:val="18"/>
              </w:rPr>
            </w:pPr>
            <w:r>
              <w:rPr>
                <w:rFonts w:ascii="Arial Narrow" w:hAnsi="Arial Narrow" w:cs="Arial"/>
                <w:b/>
                <w:bCs/>
                <w:sz w:val="18"/>
                <w:szCs w:val="18"/>
                <w:lang w:val="es-ES_tradnl"/>
              </w:rPr>
              <w:t>México</w:t>
            </w:r>
          </w:p>
        </w:tc>
        <w:tc>
          <w:tcPr>
            <w:tcW w:w="3690" w:type="dxa"/>
            <w:gridSpan w:val="3"/>
            <w:shd w:val="clear" w:color="auto" w:fill="FFFFFF" w:themeFill="background1"/>
          </w:tcPr>
          <w:p w:rsidR="00A97AEC" w:rsidRPr="00E902FF" w:rsidRDefault="00A97AEC" w:rsidP="00E902FF">
            <w:pPr>
              <w:pStyle w:val="ListParagraph"/>
              <w:numPr>
                <w:ilvl w:val="0"/>
                <w:numId w:val="25"/>
              </w:numPr>
              <w:ind w:left="162" w:hanging="180"/>
              <w:jc w:val="left"/>
              <w:rPr>
                <w:rFonts w:ascii="Arial Narrow" w:hAnsi="Arial Narrow" w:cs="Arial"/>
                <w:b/>
                <w:bCs/>
                <w:sz w:val="18"/>
                <w:szCs w:val="18"/>
                <w:lang w:val="es-ES_tradnl"/>
              </w:rPr>
            </w:pPr>
            <w:r w:rsidRPr="00E902FF">
              <w:rPr>
                <w:rFonts w:ascii="Arial Narrow" w:hAnsi="Arial Narrow" w:cs="Arial"/>
                <w:b/>
                <w:bCs/>
                <w:sz w:val="18"/>
                <w:szCs w:val="18"/>
                <w:lang w:val="es-ES_tradnl"/>
              </w:rPr>
              <w:t>Iniciativas Legislativas para la RRD en Sectores Críticos</w:t>
            </w:r>
          </w:p>
        </w:tc>
      </w:tr>
    </w:tbl>
    <w:p w:rsidR="00FF6607" w:rsidRDefault="00FF6607">
      <w:pPr>
        <w:rPr>
          <w:rFonts w:ascii="Arial Narrow" w:hAnsi="Arial Narrow" w:cs="Arial"/>
          <w:bCs/>
          <w:sz w:val="18"/>
          <w:szCs w:val="18"/>
          <w:lang w:val="es-ES_tradnl"/>
        </w:rPr>
        <w:sectPr w:rsidR="00FF6607" w:rsidSect="00126A70">
          <w:headerReference w:type="default" r:id="rId7"/>
          <w:footerReference w:type="default" r:id="rId8"/>
          <w:pgSz w:w="11906" w:h="16838"/>
          <w:pgMar w:top="1417" w:right="1701" w:bottom="1417" w:left="1701" w:header="708" w:footer="708" w:gutter="0"/>
          <w:pgBorders w:offsetFrom="page">
            <w:top w:val="dotted" w:sz="4" w:space="24" w:color="365F91" w:themeColor="accent1" w:themeShade="BF"/>
            <w:left w:val="dotted" w:sz="4" w:space="24" w:color="365F91" w:themeColor="accent1" w:themeShade="BF"/>
            <w:bottom w:val="dotted" w:sz="4" w:space="24" w:color="365F91" w:themeColor="accent1" w:themeShade="BF"/>
            <w:right w:val="dotted" w:sz="4" w:space="24" w:color="365F91" w:themeColor="accent1" w:themeShade="BF"/>
          </w:pgBorders>
          <w:cols w:space="708"/>
          <w:docGrid w:linePitch="360"/>
        </w:sectPr>
      </w:pPr>
    </w:p>
    <w:p w:rsidR="00CB537B" w:rsidRDefault="00CB537B">
      <w:pPr>
        <w:rPr>
          <w:rFonts w:ascii="Arial Narrow" w:hAnsi="Arial Narrow" w:cs="Arial"/>
          <w:bCs/>
          <w:sz w:val="18"/>
          <w:szCs w:val="18"/>
          <w:lang w:val="es-ES_tradnl"/>
        </w:rPr>
      </w:pPr>
    </w:p>
    <w:p w:rsidR="00CB537B" w:rsidRPr="0096739E" w:rsidRDefault="00CB537B" w:rsidP="00CB537B">
      <w:pPr>
        <w:rPr>
          <w:rFonts w:eastAsia="Calibri"/>
          <w:b/>
          <w:sz w:val="18"/>
          <w:szCs w:val="18"/>
          <w:lang w:val="es-PA"/>
        </w:rPr>
      </w:pPr>
      <w:r w:rsidRPr="00702034">
        <w:rPr>
          <w:rFonts w:eastAsia="Calibri"/>
          <w:b/>
          <w:sz w:val="18"/>
          <w:szCs w:val="18"/>
          <w:lang w:val="es-PA"/>
        </w:rPr>
        <w:t xml:space="preserve">Anexo 1: Ficha resumen de la </w:t>
      </w:r>
      <w:r>
        <w:rPr>
          <w:rFonts w:eastAsia="Calibri"/>
          <w:b/>
          <w:sz w:val="18"/>
          <w:szCs w:val="18"/>
          <w:lang w:val="es-PA"/>
        </w:rPr>
        <w:t>S</w:t>
      </w:r>
      <w:r w:rsidRPr="00702034">
        <w:rPr>
          <w:rFonts w:eastAsia="Calibri"/>
          <w:b/>
          <w:sz w:val="18"/>
          <w:szCs w:val="18"/>
          <w:lang w:val="es-PA"/>
        </w:rPr>
        <w:t>esión</w:t>
      </w:r>
      <w:r>
        <w:rPr>
          <w:rFonts w:eastAsia="Calibri"/>
          <w:b/>
          <w:sz w:val="18"/>
          <w:szCs w:val="18"/>
          <w:lang w:val="es-PA"/>
        </w:rPr>
        <w:t xml:space="preserve"> Temática Reducción de Riesgo de Desastres Sectorial: Retos y Avances</w:t>
      </w:r>
    </w:p>
    <w:p w:rsidR="00CB537B" w:rsidRPr="00702034" w:rsidRDefault="00CB537B" w:rsidP="00CB537B">
      <w:pPr>
        <w:rPr>
          <w:rFonts w:eastAsia="Calibri"/>
          <w:b/>
          <w:sz w:val="18"/>
          <w:szCs w:val="18"/>
          <w:lang w:val="es-PA"/>
        </w:rPr>
      </w:pPr>
    </w:p>
    <w:tbl>
      <w:tblPr>
        <w:tblW w:w="14302" w:type="dxa"/>
        <w:tblInd w:w="-72" w:type="dxa"/>
        <w:tblBorders>
          <w:top w:val="dotted" w:sz="4" w:space="0" w:color="365F91"/>
          <w:left w:val="dotted" w:sz="4" w:space="0" w:color="365F91"/>
          <w:bottom w:val="dotted" w:sz="4" w:space="0" w:color="365F91"/>
          <w:right w:val="dotted" w:sz="4" w:space="0" w:color="365F91"/>
          <w:insideH w:val="dotted" w:sz="4" w:space="0" w:color="365F91"/>
          <w:insideV w:val="dotted" w:sz="4" w:space="0" w:color="365F91"/>
        </w:tblBorders>
        <w:tblCellMar>
          <w:left w:w="70" w:type="dxa"/>
          <w:right w:w="70" w:type="dxa"/>
        </w:tblCellMar>
        <w:tblLook w:val="0000"/>
      </w:tblPr>
      <w:tblGrid>
        <w:gridCol w:w="1162"/>
        <w:gridCol w:w="2160"/>
        <w:gridCol w:w="3210"/>
        <w:gridCol w:w="2790"/>
        <w:gridCol w:w="2430"/>
        <w:gridCol w:w="2550"/>
      </w:tblGrid>
      <w:tr w:rsidR="00CB537B" w:rsidRPr="00702034" w:rsidTr="00E94F4D">
        <w:trPr>
          <w:trHeight w:val="288"/>
          <w:tblHeader/>
        </w:trPr>
        <w:tc>
          <w:tcPr>
            <w:tcW w:w="14302" w:type="dxa"/>
            <w:gridSpan w:val="6"/>
            <w:shd w:val="clear" w:color="auto" w:fill="365F91"/>
            <w:noWrap/>
            <w:vAlign w:val="center"/>
          </w:tcPr>
          <w:p w:rsidR="00CB537B" w:rsidRPr="00702034" w:rsidRDefault="00CB537B" w:rsidP="00E4210A">
            <w:pPr>
              <w:jc w:val="center"/>
              <w:rPr>
                <w:rFonts w:ascii="Arial Narrow" w:eastAsia="Calibri" w:hAnsi="Arial Narrow" w:cs="Arial"/>
                <w:b/>
                <w:bCs/>
                <w:color w:val="FFFFFF"/>
              </w:rPr>
            </w:pPr>
            <w:r w:rsidRPr="00702034">
              <w:rPr>
                <w:rFonts w:ascii="Arial Narrow" w:eastAsia="Calibri" w:hAnsi="Arial Narrow" w:cs="Arial"/>
                <w:b/>
                <w:bCs/>
                <w:color w:val="FFFFFF"/>
              </w:rPr>
              <w:t>Ficha resumen de la sesión</w:t>
            </w:r>
          </w:p>
        </w:tc>
      </w:tr>
      <w:tr w:rsidR="00CB537B" w:rsidRPr="00702034" w:rsidTr="00E94F4D">
        <w:trPr>
          <w:trHeight w:val="288"/>
          <w:tblHeader/>
        </w:trPr>
        <w:tc>
          <w:tcPr>
            <w:tcW w:w="1162" w:type="dxa"/>
            <w:shd w:val="clear" w:color="auto" w:fill="365F91"/>
            <w:noWrap/>
            <w:vAlign w:val="center"/>
          </w:tcPr>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Nivel de</w:t>
            </w:r>
          </w:p>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Actuación</w:t>
            </w:r>
          </w:p>
        </w:tc>
        <w:tc>
          <w:tcPr>
            <w:tcW w:w="2160" w:type="dxa"/>
            <w:shd w:val="clear" w:color="auto" w:fill="365F91"/>
            <w:noWrap/>
            <w:vAlign w:val="center"/>
          </w:tcPr>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Factores Críticos</w:t>
            </w:r>
          </w:p>
        </w:tc>
        <w:tc>
          <w:tcPr>
            <w:tcW w:w="3210" w:type="dxa"/>
            <w:shd w:val="clear" w:color="auto" w:fill="365F91"/>
            <w:noWrap/>
            <w:vAlign w:val="center"/>
          </w:tcPr>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Acciones Prioritarias</w:t>
            </w:r>
          </w:p>
        </w:tc>
        <w:tc>
          <w:tcPr>
            <w:tcW w:w="2790" w:type="dxa"/>
            <w:shd w:val="clear" w:color="auto" w:fill="365F91"/>
            <w:noWrap/>
            <w:vAlign w:val="center"/>
          </w:tcPr>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Resultados Esperados</w:t>
            </w:r>
          </w:p>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2011 / 2015</w:t>
            </w:r>
          </w:p>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(por acción)</w:t>
            </w:r>
          </w:p>
        </w:tc>
        <w:tc>
          <w:tcPr>
            <w:tcW w:w="2430" w:type="dxa"/>
            <w:shd w:val="clear" w:color="auto" w:fill="365F91"/>
            <w:noWrap/>
            <w:vAlign w:val="center"/>
          </w:tcPr>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 xml:space="preserve">Actores </w:t>
            </w:r>
          </w:p>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y</w:t>
            </w:r>
          </w:p>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Agencias Clave</w:t>
            </w:r>
          </w:p>
        </w:tc>
        <w:tc>
          <w:tcPr>
            <w:tcW w:w="2550" w:type="dxa"/>
            <w:shd w:val="clear" w:color="auto" w:fill="365F91"/>
            <w:noWrap/>
            <w:vAlign w:val="center"/>
          </w:tcPr>
          <w:p w:rsidR="00CB537B" w:rsidRPr="00702034" w:rsidRDefault="00CB537B" w:rsidP="00E4210A">
            <w:pP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Experiencias Exitosas</w:t>
            </w:r>
          </w:p>
          <w:p w:rsidR="00CB537B" w:rsidRPr="00702034" w:rsidRDefault="00CB537B" w:rsidP="00E4210A">
            <w:pPr>
              <w:jc w:val="center"/>
              <w:rPr>
                <w:rFonts w:ascii="Arial Narrow" w:eastAsia="Calibri" w:hAnsi="Arial Narrow" w:cs="Arial"/>
                <w:b/>
                <w:bCs/>
                <w:color w:val="FFFFFF"/>
                <w:sz w:val="20"/>
                <w:szCs w:val="20"/>
              </w:rPr>
            </w:pPr>
            <w:r w:rsidRPr="00702034">
              <w:rPr>
                <w:rFonts w:ascii="Arial Narrow" w:eastAsia="Calibri" w:hAnsi="Arial Narrow" w:cs="Arial"/>
                <w:b/>
                <w:bCs/>
                <w:color w:val="FFFFFF"/>
                <w:sz w:val="20"/>
                <w:szCs w:val="20"/>
              </w:rPr>
              <w:t>Buenas Prácticas</w:t>
            </w:r>
          </w:p>
        </w:tc>
      </w:tr>
      <w:tr w:rsidR="00CB537B" w:rsidRPr="00702034" w:rsidTr="00E94F4D">
        <w:trPr>
          <w:trHeight w:val="288"/>
        </w:trPr>
        <w:tc>
          <w:tcPr>
            <w:tcW w:w="1162" w:type="dxa"/>
            <w:vMerge w:val="restart"/>
            <w:shd w:val="clear" w:color="auto" w:fill="auto"/>
            <w:noWrap/>
            <w:vAlign w:val="center"/>
          </w:tcPr>
          <w:p w:rsidR="00CB537B" w:rsidRPr="00702034" w:rsidRDefault="00CB537B" w:rsidP="00CB537B">
            <w:pPr>
              <w:jc w:val="left"/>
              <w:rPr>
                <w:rFonts w:eastAsia="Calibri"/>
                <w:sz w:val="18"/>
                <w:szCs w:val="18"/>
              </w:rPr>
            </w:pPr>
            <w:r w:rsidRPr="00702034">
              <w:rPr>
                <w:rFonts w:eastAsia="Calibri"/>
                <w:sz w:val="18"/>
                <w:szCs w:val="18"/>
              </w:rPr>
              <w:t>Regional/</w:t>
            </w:r>
          </w:p>
          <w:p w:rsidR="00CB537B" w:rsidRPr="00702034" w:rsidRDefault="00CB537B" w:rsidP="00CB537B">
            <w:pPr>
              <w:jc w:val="left"/>
              <w:rPr>
                <w:rFonts w:eastAsia="Calibri"/>
                <w:sz w:val="18"/>
                <w:szCs w:val="18"/>
              </w:rPr>
            </w:pPr>
            <w:r w:rsidRPr="00702034">
              <w:rPr>
                <w:rFonts w:eastAsia="Calibri"/>
                <w:sz w:val="18"/>
                <w:szCs w:val="18"/>
              </w:rPr>
              <w:t>Subregional</w:t>
            </w:r>
          </w:p>
        </w:tc>
        <w:tc>
          <w:tcPr>
            <w:tcW w:w="2160" w:type="dxa"/>
            <w:vMerge w:val="restart"/>
            <w:shd w:val="clear" w:color="auto" w:fill="auto"/>
            <w:noWrap/>
            <w:vAlign w:val="center"/>
          </w:tcPr>
          <w:p w:rsidR="00CB537B" w:rsidRPr="00702034" w:rsidRDefault="00CB537B" w:rsidP="00CB537B">
            <w:pPr>
              <w:jc w:val="left"/>
              <w:rPr>
                <w:rFonts w:eastAsia="Calibri"/>
                <w:sz w:val="18"/>
                <w:szCs w:val="18"/>
              </w:rPr>
            </w:pPr>
            <w:r>
              <w:rPr>
                <w:rFonts w:eastAsia="Calibri"/>
                <w:sz w:val="18"/>
                <w:szCs w:val="18"/>
              </w:rPr>
              <w:t>Falta de intercambio de experiencias nacionales en los ámbitos regional y sub-regional de los niveles sectoriales.</w:t>
            </w:r>
          </w:p>
        </w:tc>
        <w:tc>
          <w:tcPr>
            <w:tcW w:w="3210" w:type="dxa"/>
            <w:vMerge w:val="restart"/>
            <w:shd w:val="clear" w:color="auto" w:fill="auto"/>
            <w:noWrap/>
            <w:vAlign w:val="center"/>
          </w:tcPr>
          <w:p w:rsidR="00CB537B" w:rsidRDefault="00CB537B" w:rsidP="00CB537B">
            <w:pPr>
              <w:ind w:left="20"/>
              <w:jc w:val="left"/>
              <w:rPr>
                <w:rFonts w:eastAsia="Calibri"/>
                <w:sz w:val="18"/>
                <w:szCs w:val="18"/>
              </w:rPr>
            </w:pPr>
            <w:r>
              <w:rPr>
                <w:rFonts w:eastAsia="Calibri"/>
                <w:sz w:val="18"/>
                <w:szCs w:val="18"/>
              </w:rPr>
              <w:t>Fortalecer la coordinación sub-regional y regional de gestión de riesgo a nivel sectorial</w:t>
            </w:r>
          </w:p>
          <w:p w:rsidR="00CB537B" w:rsidRDefault="00CB537B" w:rsidP="00CB537B">
            <w:pPr>
              <w:ind w:left="20"/>
              <w:jc w:val="left"/>
              <w:rPr>
                <w:rFonts w:eastAsia="Calibri"/>
                <w:sz w:val="18"/>
                <w:szCs w:val="18"/>
              </w:rPr>
            </w:pPr>
          </w:p>
          <w:p w:rsidR="00CB537B" w:rsidRPr="00702034" w:rsidRDefault="00CB537B" w:rsidP="00CB537B">
            <w:pPr>
              <w:ind w:left="20"/>
              <w:jc w:val="left"/>
              <w:rPr>
                <w:rFonts w:eastAsia="Calibri"/>
                <w:sz w:val="18"/>
                <w:szCs w:val="18"/>
              </w:rPr>
            </w:pPr>
            <w:r>
              <w:rPr>
                <w:rFonts w:eastAsia="Calibri"/>
                <w:sz w:val="18"/>
                <w:szCs w:val="18"/>
              </w:rPr>
              <w:t xml:space="preserve">Buscar la </w:t>
            </w:r>
            <w:proofErr w:type="spellStart"/>
            <w:r>
              <w:rPr>
                <w:rFonts w:eastAsia="Calibri"/>
                <w:sz w:val="18"/>
                <w:szCs w:val="18"/>
              </w:rPr>
              <w:t>replicabilidad</w:t>
            </w:r>
            <w:proofErr w:type="spellEnd"/>
            <w:r>
              <w:rPr>
                <w:rFonts w:eastAsia="Calibri"/>
                <w:sz w:val="18"/>
                <w:szCs w:val="18"/>
              </w:rPr>
              <w:t xml:space="preserve"> de los avances en el sector salud en otros sectores</w:t>
            </w:r>
          </w:p>
        </w:tc>
        <w:tc>
          <w:tcPr>
            <w:tcW w:w="2790" w:type="dxa"/>
            <w:vMerge w:val="restart"/>
            <w:shd w:val="clear" w:color="auto" w:fill="auto"/>
            <w:noWrap/>
            <w:vAlign w:val="center"/>
          </w:tcPr>
          <w:p w:rsidR="00CB537B" w:rsidRDefault="00CB537B" w:rsidP="00CB537B">
            <w:pPr>
              <w:jc w:val="left"/>
              <w:rPr>
                <w:rFonts w:eastAsia="Calibri"/>
                <w:sz w:val="18"/>
                <w:szCs w:val="18"/>
              </w:rPr>
            </w:pPr>
            <w:r>
              <w:rPr>
                <w:rFonts w:eastAsia="Calibri"/>
                <w:sz w:val="18"/>
                <w:szCs w:val="18"/>
              </w:rPr>
              <w:t>Se habrán establecido mecanismos sub-regionales y regionales de gestión de riesgo a nivel sectorial integrados a las plataformas RRRD</w:t>
            </w:r>
          </w:p>
          <w:p w:rsidR="00CB537B" w:rsidRDefault="00CB537B" w:rsidP="00CB537B">
            <w:pPr>
              <w:jc w:val="left"/>
              <w:rPr>
                <w:rFonts w:eastAsia="Calibri"/>
                <w:sz w:val="18"/>
                <w:szCs w:val="18"/>
              </w:rPr>
            </w:pPr>
          </w:p>
          <w:p w:rsidR="00CB537B" w:rsidRPr="00702034" w:rsidRDefault="00CB537B" w:rsidP="00CB537B">
            <w:pPr>
              <w:jc w:val="left"/>
              <w:rPr>
                <w:rFonts w:eastAsia="Calibri"/>
                <w:sz w:val="18"/>
                <w:szCs w:val="18"/>
              </w:rPr>
            </w:pPr>
            <w:r>
              <w:rPr>
                <w:rFonts w:eastAsia="Calibri"/>
                <w:sz w:val="18"/>
                <w:szCs w:val="18"/>
              </w:rPr>
              <w:t>Otros sectores cuentan con criterios para mantener el servicio en casos de desastres.</w:t>
            </w:r>
          </w:p>
        </w:tc>
        <w:tc>
          <w:tcPr>
            <w:tcW w:w="2430" w:type="dxa"/>
            <w:vMerge w:val="restart"/>
            <w:shd w:val="clear" w:color="auto" w:fill="auto"/>
            <w:noWrap/>
            <w:vAlign w:val="center"/>
          </w:tcPr>
          <w:p w:rsidR="00CB537B" w:rsidRDefault="00CB537B" w:rsidP="00CB537B">
            <w:pPr>
              <w:jc w:val="left"/>
              <w:rPr>
                <w:rFonts w:eastAsia="Calibri"/>
                <w:sz w:val="18"/>
                <w:szCs w:val="18"/>
              </w:rPr>
            </w:pPr>
            <w:r>
              <w:rPr>
                <w:rFonts w:eastAsia="Calibri"/>
                <w:sz w:val="18"/>
                <w:szCs w:val="18"/>
              </w:rPr>
              <w:t xml:space="preserve">Organismos subregionales de gestión de riesgo de desastres </w:t>
            </w:r>
          </w:p>
          <w:p w:rsidR="00CB537B" w:rsidRDefault="00CB537B" w:rsidP="00CB537B">
            <w:pPr>
              <w:jc w:val="left"/>
              <w:rPr>
                <w:rFonts w:eastAsia="Calibri"/>
                <w:sz w:val="18"/>
                <w:szCs w:val="18"/>
              </w:rPr>
            </w:pPr>
            <w:r>
              <w:rPr>
                <w:rFonts w:eastAsia="Calibri"/>
                <w:sz w:val="18"/>
                <w:szCs w:val="18"/>
              </w:rPr>
              <w:t>EIRD</w:t>
            </w:r>
          </w:p>
          <w:p w:rsidR="00CB537B" w:rsidRDefault="00CB537B" w:rsidP="00CB537B">
            <w:pPr>
              <w:jc w:val="left"/>
              <w:rPr>
                <w:rFonts w:eastAsia="Calibri"/>
                <w:sz w:val="18"/>
                <w:szCs w:val="18"/>
              </w:rPr>
            </w:pPr>
            <w:r>
              <w:rPr>
                <w:rFonts w:eastAsia="Calibri"/>
                <w:sz w:val="18"/>
                <w:szCs w:val="18"/>
              </w:rPr>
              <w:t>OPS</w:t>
            </w:r>
          </w:p>
          <w:p w:rsidR="00CB537B" w:rsidRDefault="00CB537B" w:rsidP="00CB537B">
            <w:pPr>
              <w:jc w:val="left"/>
              <w:rPr>
                <w:rFonts w:eastAsia="Calibri"/>
                <w:sz w:val="18"/>
                <w:szCs w:val="18"/>
              </w:rPr>
            </w:pPr>
            <w:r>
              <w:rPr>
                <w:rFonts w:eastAsia="Calibri"/>
                <w:sz w:val="18"/>
                <w:szCs w:val="18"/>
              </w:rPr>
              <w:t>OEA</w:t>
            </w:r>
          </w:p>
          <w:p w:rsidR="00CB537B" w:rsidRDefault="00CB537B" w:rsidP="00CB537B">
            <w:pPr>
              <w:jc w:val="left"/>
              <w:rPr>
                <w:rFonts w:eastAsia="Calibri"/>
                <w:sz w:val="18"/>
                <w:szCs w:val="18"/>
              </w:rPr>
            </w:pPr>
            <w:r>
              <w:rPr>
                <w:rFonts w:eastAsia="Calibri"/>
                <w:sz w:val="18"/>
                <w:szCs w:val="18"/>
              </w:rPr>
              <w:t>Otros organismos regionales y sub-regionales</w:t>
            </w:r>
          </w:p>
          <w:p w:rsidR="00CB537B" w:rsidRPr="00702034" w:rsidRDefault="00CB537B" w:rsidP="00CB537B">
            <w:pPr>
              <w:jc w:val="left"/>
              <w:rPr>
                <w:rFonts w:eastAsia="Calibri"/>
                <w:sz w:val="18"/>
                <w:szCs w:val="18"/>
              </w:rPr>
            </w:pPr>
          </w:p>
        </w:tc>
        <w:tc>
          <w:tcPr>
            <w:tcW w:w="2550" w:type="dxa"/>
            <w:vMerge w:val="restart"/>
            <w:shd w:val="clear" w:color="auto" w:fill="auto"/>
            <w:noWrap/>
            <w:vAlign w:val="center"/>
          </w:tcPr>
          <w:p w:rsidR="00CB537B" w:rsidRPr="00702034" w:rsidRDefault="00CB537B" w:rsidP="00CB537B">
            <w:pPr>
              <w:jc w:val="left"/>
              <w:rPr>
                <w:rFonts w:eastAsia="Calibri"/>
                <w:sz w:val="18"/>
                <w:szCs w:val="18"/>
              </w:rPr>
            </w:pPr>
            <w:r>
              <w:rPr>
                <w:rFonts w:eastAsia="Calibri"/>
                <w:sz w:val="18"/>
                <w:szCs w:val="18"/>
              </w:rPr>
              <w:t>Iniciativa de Gestión de Riesgo de desastres en el Sector Salud de UNASUR</w:t>
            </w:r>
          </w:p>
        </w:tc>
      </w:tr>
      <w:tr w:rsidR="00CB537B" w:rsidRPr="00702034" w:rsidTr="00E94F4D">
        <w:trPr>
          <w:trHeight w:val="258"/>
        </w:trPr>
        <w:tc>
          <w:tcPr>
            <w:tcW w:w="1162" w:type="dxa"/>
            <w:vMerge/>
            <w:vAlign w:val="center"/>
          </w:tcPr>
          <w:p w:rsidR="00CB537B" w:rsidRPr="00702034" w:rsidRDefault="00CB537B" w:rsidP="00CB537B">
            <w:pPr>
              <w:jc w:val="left"/>
              <w:rPr>
                <w:rFonts w:eastAsia="Calibri"/>
                <w:sz w:val="18"/>
                <w:szCs w:val="18"/>
              </w:rPr>
            </w:pPr>
          </w:p>
        </w:tc>
        <w:tc>
          <w:tcPr>
            <w:tcW w:w="2160" w:type="dxa"/>
            <w:vMerge/>
            <w:vAlign w:val="center"/>
          </w:tcPr>
          <w:p w:rsidR="00CB537B" w:rsidRPr="00702034" w:rsidRDefault="00CB537B" w:rsidP="00CB537B">
            <w:pPr>
              <w:jc w:val="left"/>
              <w:rPr>
                <w:rFonts w:eastAsia="Calibri"/>
                <w:sz w:val="18"/>
                <w:szCs w:val="18"/>
              </w:rPr>
            </w:pPr>
          </w:p>
        </w:tc>
        <w:tc>
          <w:tcPr>
            <w:tcW w:w="3210" w:type="dxa"/>
            <w:vMerge/>
            <w:vAlign w:val="center"/>
          </w:tcPr>
          <w:p w:rsidR="00CB537B" w:rsidRPr="00702034" w:rsidRDefault="00CB537B" w:rsidP="00CB537B">
            <w:pPr>
              <w:ind w:left="20"/>
              <w:jc w:val="left"/>
              <w:rPr>
                <w:rFonts w:eastAsia="Calibri"/>
                <w:sz w:val="18"/>
                <w:szCs w:val="18"/>
              </w:rPr>
            </w:pPr>
          </w:p>
        </w:tc>
        <w:tc>
          <w:tcPr>
            <w:tcW w:w="2790" w:type="dxa"/>
            <w:vMerge/>
            <w:vAlign w:val="center"/>
          </w:tcPr>
          <w:p w:rsidR="00CB537B" w:rsidRPr="00702034" w:rsidRDefault="00CB537B" w:rsidP="00CB537B">
            <w:pPr>
              <w:jc w:val="left"/>
              <w:rPr>
                <w:rFonts w:eastAsia="Calibri"/>
                <w:sz w:val="18"/>
                <w:szCs w:val="18"/>
              </w:rPr>
            </w:pPr>
          </w:p>
        </w:tc>
        <w:tc>
          <w:tcPr>
            <w:tcW w:w="2430" w:type="dxa"/>
            <w:vMerge/>
            <w:vAlign w:val="center"/>
          </w:tcPr>
          <w:p w:rsidR="00CB537B" w:rsidRPr="00702034" w:rsidRDefault="00CB537B" w:rsidP="00CB537B">
            <w:pPr>
              <w:ind w:left="117" w:hanging="117"/>
              <w:jc w:val="left"/>
              <w:rPr>
                <w:rFonts w:eastAsia="Calibri"/>
                <w:sz w:val="18"/>
                <w:szCs w:val="18"/>
              </w:rPr>
            </w:pPr>
          </w:p>
        </w:tc>
        <w:tc>
          <w:tcPr>
            <w:tcW w:w="2550" w:type="dxa"/>
            <w:vMerge/>
            <w:vAlign w:val="center"/>
          </w:tcPr>
          <w:p w:rsidR="00CB537B" w:rsidRPr="00702034" w:rsidRDefault="00CB537B" w:rsidP="00CB537B">
            <w:pPr>
              <w:jc w:val="left"/>
              <w:rPr>
                <w:rFonts w:eastAsia="Calibri"/>
                <w:sz w:val="18"/>
                <w:szCs w:val="18"/>
              </w:rPr>
            </w:pPr>
          </w:p>
        </w:tc>
      </w:tr>
      <w:tr w:rsidR="00CB537B" w:rsidRPr="00702034" w:rsidTr="00E94F4D">
        <w:trPr>
          <w:trHeight w:val="258"/>
        </w:trPr>
        <w:tc>
          <w:tcPr>
            <w:tcW w:w="1162" w:type="dxa"/>
            <w:vMerge/>
            <w:vAlign w:val="center"/>
          </w:tcPr>
          <w:p w:rsidR="00CB537B" w:rsidRPr="00702034" w:rsidRDefault="00CB537B" w:rsidP="00CB537B">
            <w:pPr>
              <w:jc w:val="left"/>
              <w:rPr>
                <w:rFonts w:eastAsia="Calibri"/>
                <w:sz w:val="18"/>
                <w:szCs w:val="18"/>
              </w:rPr>
            </w:pPr>
          </w:p>
        </w:tc>
        <w:tc>
          <w:tcPr>
            <w:tcW w:w="2160" w:type="dxa"/>
            <w:vMerge/>
            <w:vAlign w:val="center"/>
          </w:tcPr>
          <w:p w:rsidR="00CB537B" w:rsidRPr="00702034" w:rsidRDefault="00CB537B" w:rsidP="00CB537B">
            <w:pPr>
              <w:jc w:val="left"/>
              <w:rPr>
                <w:rFonts w:eastAsia="Calibri"/>
                <w:sz w:val="18"/>
                <w:szCs w:val="18"/>
              </w:rPr>
            </w:pPr>
          </w:p>
        </w:tc>
        <w:tc>
          <w:tcPr>
            <w:tcW w:w="3210" w:type="dxa"/>
            <w:vMerge/>
            <w:vAlign w:val="center"/>
          </w:tcPr>
          <w:p w:rsidR="00CB537B" w:rsidRPr="00702034" w:rsidRDefault="00CB537B" w:rsidP="00CB537B">
            <w:pPr>
              <w:ind w:left="20"/>
              <w:jc w:val="left"/>
              <w:rPr>
                <w:rFonts w:eastAsia="Calibri"/>
                <w:sz w:val="18"/>
                <w:szCs w:val="18"/>
              </w:rPr>
            </w:pPr>
          </w:p>
        </w:tc>
        <w:tc>
          <w:tcPr>
            <w:tcW w:w="2790" w:type="dxa"/>
            <w:vMerge/>
            <w:vAlign w:val="center"/>
          </w:tcPr>
          <w:p w:rsidR="00CB537B" w:rsidRPr="00702034" w:rsidRDefault="00CB537B" w:rsidP="00CB537B">
            <w:pPr>
              <w:jc w:val="left"/>
              <w:rPr>
                <w:rFonts w:eastAsia="Calibri"/>
                <w:sz w:val="18"/>
                <w:szCs w:val="18"/>
              </w:rPr>
            </w:pPr>
          </w:p>
        </w:tc>
        <w:tc>
          <w:tcPr>
            <w:tcW w:w="2430" w:type="dxa"/>
            <w:vMerge/>
            <w:vAlign w:val="center"/>
          </w:tcPr>
          <w:p w:rsidR="00CB537B" w:rsidRPr="00702034" w:rsidRDefault="00CB537B" w:rsidP="00CB537B">
            <w:pPr>
              <w:ind w:left="117" w:hanging="117"/>
              <w:jc w:val="left"/>
              <w:rPr>
                <w:rFonts w:eastAsia="Calibri"/>
                <w:sz w:val="18"/>
                <w:szCs w:val="18"/>
              </w:rPr>
            </w:pPr>
          </w:p>
        </w:tc>
        <w:tc>
          <w:tcPr>
            <w:tcW w:w="2550" w:type="dxa"/>
            <w:vMerge/>
            <w:vAlign w:val="center"/>
          </w:tcPr>
          <w:p w:rsidR="00CB537B" w:rsidRPr="00702034" w:rsidRDefault="00CB537B" w:rsidP="00CB537B">
            <w:pPr>
              <w:jc w:val="left"/>
              <w:rPr>
                <w:rFonts w:eastAsia="Calibri"/>
                <w:sz w:val="18"/>
                <w:szCs w:val="18"/>
              </w:rPr>
            </w:pPr>
          </w:p>
        </w:tc>
      </w:tr>
      <w:tr w:rsidR="00CB537B" w:rsidRPr="00702034" w:rsidTr="00E94F4D">
        <w:trPr>
          <w:trHeight w:val="258"/>
        </w:trPr>
        <w:tc>
          <w:tcPr>
            <w:tcW w:w="1162" w:type="dxa"/>
            <w:vMerge/>
            <w:vAlign w:val="center"/>
          </w:tcPr>
          <w:p w:rsidR="00CB537B" w:rsidRPr="00702034" w:rsidRDefault="00CB537B" w:rsidP="00CB537B">
            <w:pPr>
              <w:jc w:val="left"/>
              <w:rPr>
                <w:rFonts w:eastAsia="Calibri"/>
                <w:sz w:val="18"/>
                <w:szCs w:val="18"/>
              </w:rPr>
            </w:pPr>
          </w:p>
        </w:tc>
        <w:tc>
          <w:tcPr>
            <w:tcW w:w="2160" w:type="dxa"/>
            <w:vMerge/>
            <w:vAlign w:val="center"/>
          </w:tcPr>
          <w:p w:rsidR="00CB537B" w:rsidRPr="00702034" w:rsidRDefault="00CB537B" w:rsidP="00CB537B">
            <w:pPr>
              <w:jc w:val="left"/>
              <w:rPr>
                <w:rFonts w:eastAsia="Calibri"/>
                <w:sz w:val="18"/>
                <w:szCs w:val="18"/>
              </w:rPr>
            </w:pPr>
          </w:p>
        </w:tc>
        <w:tc>
          <w:tcPr>
            <w:tcW w:w="3210" w:type="dxa"/>
            <w:vMerge/>
            <w:vAlign w:val="center"/>
          </w:tcPr>
          <w:p w:rsidR="00CB537B" w:rsidRPr="00702034" w:rsidRDefault="00CB537B" w:rsidP="00CB537B">
            <w:pPr>
              <w:ind w:left="20"/>
              <w:jc w:val="left"/>
              <w:rPr>
                <w:rFonts w:eastAsia="Calibri"/>
                <w:sz w:val="18"/>
                <w:szCs w:val="18"/>
              </w:rPr>
            </w:pPr>
          </w:p>
        </w:tc>
        <w:tc>
          <w:tcPr>
            <w:tcW w:w="2790" w:type="dxa"/>
            <w:vMerge/>
            <w:vAlign w:val="center"/>
          </w:tcPr>
          <w:p w:rsidR="00CB537B" w:rsidRPr="00702034" w:rsidRDefault="00CB537B" w:rsidP="00CB537B">
            <w:pPr>
              <w:jc w:val="left"/>
              <w:rPr>
                <w:rFonts w:eastAsia="Calibri"/>
                <w:sz w:val="18"/>
                <w:szCs w:val="18"/>
              </w:rPr>
            </w:pPr>
          </w:p>
        </w:tc>
        <w:tc>
          <w:tcPr>
            <w:tcW w:w="2430" w:type="dxa"/>
            <w:vMerge/>
            <w:vAlign w:val="center"/>
          </w:tcPr>
          <w:p w:rsidR="00CB537B" w:rsidRPr="00702034" w:rsidRDefault="00CB537B" w:rsidP="00CB537B">
            <w:pPr>
              <w:ind w:left="117" w:hanging="117"/>
              <w:jc w:val="left"/>
              <w:rPr>
                <w:rFonts w:eastAsia="Calibri"/>
                <w:sz w:val="18"/>
                <w:szCs w:val="18"/>
              </w:rPr>
            </w:pPr>
          </w:p>
        </w:tc>
        <w:tc>
          <w:tcPr>
            <w:tcW w:w="2550" w:type="dxa"/>
            <w:vMerge/>
            <w:vAlign w:val="center"/>
          </w:tcPr>
          <w:p w:rsidR="00CB537B" w:rsidRPr="00702034" w:rsidRDefault="00CB537B" w:rsidP="00CB537B">
            <w:pPr>
              <w:jc w:val="left"/>
              <w:rPr>
                <w:rFonts w:eastAsia="Calibri"/>
                <w:sz w:val="18"/>
                <w:szCs w:val="18"/>
              </w:rPr>
            </w:pPr>
          </w:p>
        </w:tc>
      </w:tr>
      <w:tr w:rsidR="00CB537B" w:rsidRPr="00702034" w:rsidTr="00E94F4D">
        <w:trPr>
          <w:trHeight w:val="217"/>
        </w:trPr>
        <w:tc>
          <w:tcPr>
            <w:tcW w:w="1162" w:type="dxa"/>
            <w:vMerge/>
            <w:vAlign w:val="center"/>
          </w:tcPr>
          <w:p w:rsidR="00CB537B" w:rsidRPr="00702034" w:rsidRDefault="00CB537B" w:rsidP="00CB537B">
            <w:pPr>
              <w:jc w:val="left"/>
              <w:rPr>
                <w:rFonts w:eastAsia="Calibri"/>
                <w:sz w:val="18"/>
                <w:szCs w:val="18"/>
              </w:rPr>
            </w:pPr>
          </w:p>
        </w:tc>
        <w:tc>
          <w:tcPr>
            <w:tcW w:w="2160" w:type="dxa"/>
            <w:vMerge/>
            <w:vAlign w:val="center"/>
          </w:tcPr>
          <w:p w:rsidR="00CB537B" w:rsidRPr="00702034" w:rsidRDefault="00CB537B" w:rsidP="00CB537B">
            <w:pPr>
              <w:jc w:val="left"/>
              <w:rPr>
                <w:rFonts w:eastAsia="Calibri"/>
                <w:sz w:val="18"/>
                <w:szCs w:val="18"/>
              </w:rPr>
            </w:pPr>
          </w:p>
        </w:tc>
        <w:tc>
          <w:tcPr>
            <w:tcW w:w="3210" w:type="dxa"/>
            <w:vMerge/>
            <w:vAlign w:val="center"/>
          </w:tcPr>
          <w:p w:rsidR="00CB537B" w:rsidRPr="00702034" w:rsidRDefault="00CB537B" w:rsidP="00CB537B">
            <w:pPr>
              <w:ind w:left="20"/>
              <w:jc w:val="left"/>
              <w:rPr>
                <w:rFonts w:eastAsia="Calibri"/>
                <w:sz w:val="18"/>
                <w:szCs w:val="18"/>
              </w:rPr>
            </w:pPr>
          </w:p>
        </w:tc>
        <w:tc>
          <w:tcPr>
            <w:tcW w:w="2790" w:type="dxa"/>
            <w:vMerge/>
            <w:vAlign w:val="center"/>
          </w:tcPr>
          <w:p w:rsidR="00CB537B" w:rsidRPr="00702034" w:rsidRDefault="00CB537B" w:rsidP="00CB537B">
            <w:pPr>
              <w:jc w:val="left"/>
              <w:rPr>
                <w:rFonts w:eastAsia="Calibri"/>
                <w:sz w:val="18"/>
                <w:szCs w:val="18"/>
              </w:rPr>
            </w:pPr>
          </w:p>
        </w:tc>
        <w:tc>
          <w:tcPr>
            <w:tcW w:w="2430" w:type="dxa"/>
            <w:vMerge/>
            <w:vAlign w:val="center"/>
          </w:tcPr>
          <w:p w:rsidR="00CB537B" w:rsidRPr="00702034" w:rsidRDefault="00CB537B" w:rsidP="00CB537B">
            <w:pPr>
              <w:ind w:left="117" w:hanging="117"/>
              <w:jc w:val="left"/>
              <w:rPr>
                <w:rFonts w:eastAsia="Calibri"/>
                <w:sz w:val="18"/>
                <w:szCs w:val="18"/>
              </w:rPr>
            </w:pPr>
          </w:p>
        </w:tc>
        <w:tc>
          <w:tcPr>
            <w:tcW w:w="2550" w:type="dxa"/>
            <w:vMerge/>
            <w:vAlign w:val="center"/>
          </w:tcPr>
          <w:p w:rsidR="00CB537B" w:rsidRPr="00702034" w:rsidRDefault="00CB537B" w:rsidP="00CB537B">
            <w:pPr>
              <w:jc w:val="left"/>
              <w:rPr>
                <w:rFonts w:eastAsia="Calibri"/>
                <w:sz w:val="18"/>
                <w:szCs w:val="18"/>
              </w:rPr>
            </w:pPr>
          </w:p>
        </w:tc>
      </w:tr>
      <w:tr w:rsidR="00CB537B" w:rsidRPr="00702034" w:rsidTr="00E94F4D">
        <w:trPr>
          <w:trHeight w:val="358"/>
        </w:trPr>
        <w:tc>
          <w:tcPr>
            <w:tcW w:w="1162" w:type="dxa"/>
            <w:vMerge w:val="restart"/>
            <w:shd w:val="clear" w:color="auto" w:fill="auto"/>
            <w:noWrap/>
            <w:vAlign w:val="center"/>
          </w:tcPr>
          <w:p w:rsidR="00CB537B" w:rsidRPr="00702034" w:rsidRDefault="00CB537B" w:rsidP="00CB537B">
            <w:pPr>
              <w:jc w:val="left"/>
              <w:rPr>
                <w:rFonts w:eastAsia="Calibri"/>
                <w:sz w:val="18"/>
                <w:szCs w:val="18"/>
              </w:rPr>
            </w:pPr>
            <w:r w:rsidRPr="00702034">
              <w:rPr>
                <w:rFonts w:eastAsia="Calibri"/>
                <w:sz w:val="18"/>
                <w:szCs w:val="18"/>
              </w:rPr>
              <w:t>Nacional</w:t>
            </w:r>
          </w:p>
          <w:p w:rsidR="00CB537B" w:rsidRPr="00702034" w:rsidRDefault="00CB537B" w:rsidP="00CB537B">
            <w:pPr>
              <w:jc w:val="left"/>
              <w:rPr>
                <w:rFonts w:eastAsia="Calibri"/>
                <w:sz w:val="18"/>
                <w:szCs w:val="18"/>
              </w:rPr>
            </w:pPr>
            <w:r w:rsidRPr="00702034">
              <w:rPr>
                <w:rFonts w:eastAsia="Calibri"/>
                <w:sz w:val="18"/>
                <w:szCs w:val="18"/>
              </w:rPr>
              <w:t>/</w:t>
            </w:r>
            <w:proofErr w:type="spellStart"/>
            <w:r w:rsidRPr="00702034">
              <w:rPr>
                <w:rFonts w:eastAsia="Calibri"/>
                <w:sz w:val="18"/>
                <w:szCs w:val="18"/>
              </w:rPr>
              <w:t>Subnacional</w:t>
            </w:r>
            <w:proofErr w:type="spellEnd"/>
          </w:p>
        </w:tc>
        <w:tc>
          <w:tcPr>
            <w:tcW w:w="216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Ausencia de planes de desarrollo y los que existen no incluyen la gestión de riesgo de desastres y el cambio climático</w:t>
            </w:r>
          </w:p>
          <w:p w:rsidR="00CB537B" w:rsidRPr="00702034" w:rsidRDefault="00CB537B" w:rsidP="00CB537B">
            <w:pPr>
              <w:jc w:val="left"/>
              <w:rPr>
                <w:rFonts w:eastAsia="Calibri"/>
                <w:sz w:val="18"/>
                <w:szCs w:val="18"/>
              </w:rPr>
            </w:pPr>
          </w:p>
        </w:tc>
        <w:tc>
          <w:tcPr>
            <w:tcW w:w="3210" w:type="dxa"/>
            <w:shd w:val="clear" w:color="auto" w:fill="auto"/>
            <w:noWrap/>
            <w:vAlign w:val="center"/>
          </w:tcPr>
          <w:p w:rsidR="00CB537B" w:rsidRDefault="00CB537B" w:rsidP="00CB537B">
            <w:pPr>
              <w:ind w:left="20"/>
              <w:jc w:val="left"/>
              <w:rPr>
                <w:rFonts w:eastAsia="Calibri"/>
                <w:sz w:val="18"/>
                <w:szCs w:val="18"/>
              </w:rPr>
            </w:pPr>
            <w:r>
              <w:rPr>
                <w:rFonts w:eastAsia="Calibri"/>
                <w:sz w:val="18"/>
                <w:szCs w:val="18"/>
              </w:rPr>
              <w:t>Adoptar y/o apoyar el ordenamiento territorial como política de estado y la RRD como uno de sus componentes esenciales</w:t>
            </w:r>
          </w:p>
          <w:p w:rsidR="00CB537B" w:rsidRDefault="00CB537B" w:rsidP="00CB537B">
            <w:pPr>
              <w:ind w:left="20"/>
              <w:jc w:val="left"/>
              <w:rPr>
                <w:rFonts w:eastAsia="Calibri"/>
                <w:sz w:val="18"/>
                <w:szCs w:val="18"/>
              </w:rPr>
            </w:pPr>
          </w:p>
          <w:p w:rsidR="00CB537B" w:rsidRPr="00702034" w:rsidRDefault="00CB537B" w:rsidP="00CB537B">
            <w:pPr>
              <w:ind w:left="20"/>
              <w:jc w:val="left"/>
              <w:rPr>
                <w:rFonts w:eastAsia="Calibri"/>
                <w:sz w:val="18"/>
                <w:szCs w:val="18"/>
              </w:rPr>
            </w:pPr>
            <w:r>
              <w:rPr>
                <w:rFonts w:eastAsia="Calibri"/>
                <w:sz w:val="18"/>
                <w:szCs w:val="18"/>
              </w:rPr>
              <w:t>Articulación de las Políticas Sectoriales de RRD en los Planes de desarrollo territorial</w:t>
            </w:r>
          </w:p>
        </w:tc>
        <w:tc>
          <w:tcPr>
            <w:tcW w:w="279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Los países contarán con un Plan de Ordenamiento Territorial que incorpora la RRD en la definición de los modelos de desarrollo territorial a nivel nacional y sub-nacional basado en sus Atlas de Riesgo.</w:t>
            </w:r>
          </w:p>
          <w:p w:rsidR="00CB537B" w:rsidRPr="00702034" w:rsidRDefault="00CB537B" w:rsidP="00CB537B">
            <w:pPr>
              <w:jc w:val="left"/>
              <w:rPr>
                <w:rFonts w:eastAsia="Calibri"/>
                <w:sz w:val="18"/>
                <w:szCs w:val="18"/>
              </w:rPr>
            </w:pPr>
          </w:p>
        </w:tc>
        <w:tc>
          <w:tcPr>
            <w:tcW w:w="2430" w:type="dxa"/>
            <w:shd w:val="clear" w:color="auto" w:fill="auto"/>
            <w:noWrap/>
            <w:vAlign w:val="center"/>
          </w:tcPr>
          <w:p w:rsidR="00CB537B" w:rsidRDefault="00CB537B" w:rsidP="00CB537B">
            <w:pPr>
              <w:ind w:left="117" w:hanging="117"/>
              <w:jc w:val="left"/>
              <w:rPr>
                <w:rFonts w:eastAsia="Calibri"/>
                <w:sz w:val="18"/>
                <w:szCs w:val="18"/>
              </w:rPr>
            </w:pPr>
            <w:r>
              <w:rPr>
                <w:rFonts w:eastAsia="Calibri"/>
                <w:sz w:val="18"/>
                <w:szCs w:val="18"/>
              </w:rPr>
              <w:t>Organismos Nacionales encargados de Planificación y Desarrollo Territorial</w:t>
            </w:r>
          </w:p>
          <w:p w:rsidR="00CB537B" w:rsidRDefault="00CB537B" w:rsidP="00CB537B">
            <w:pPr>
              <w:ind w:left="117" w:hanging="117"/>
              <w:jc w:val="left"/>
              <w:rPr>
                <w:rFonts w:eastAsia="Calibri"/>
                <w:sz w:val="18"/>
                <w:szCs w:val="18"/>
              </w:rPr>
            </w:pPr>
            <w:r>
              <w:rPr>
                <w:rFonts w:eastAsia="Calibri"/>
                <w:sz w:val="18"/>
                <w:szCs w:val="18"/>
              </w:rPr>
              <w:t>Organismos Nacionales de Protección Civil</w:t>
            </w:r>
          </w:p>
          <w:p w:rsidR="00CB537B" w:rsidRDefault="00CB537B" w:rsidP="00CB537B">
            <w:pPr>
              <w:ind w:left="117" w:hanging="117"/>
              <w:jc w:val="left"/>
              <w:rPr>
                <w:rFonts w:eastAsia="Calibri"/>
                <w:sz w:val="18"/>
                <w:szCs w:val="18"/>
              </w:rPr>
            </w:pPr>
            <w:r>
              <w:rPr>
                <w:rFonts w:eastAsia="Calibri"/>
                <w:sz w:val="18"/>
                <w:szCs w:val="18"/>
              </w:rPr>
              <w:t xml:space="preserve">Sectores Críticos (Salud, energía, </w:t>
            </w:r>
          </w:p>
          <w:p w:rsidR="00CB537B" w:rsidRPr="00702034" w:rsidRDefault="00CB537B" w:rsidP="00CB537B">
            <w:pPr>
              <w:ind w:left="117" w:hanging="117"/>
              <w:jc w:val="left"/>
              <w:rPr>
                <w:rFonts w:eastAsia="Calibri"/>
                <w:sz w:val="18"/>
                <w:szCs w:val="18"/>
              </w:rPr>
            </w:pPr>
            <w:r>
              <w:rPr>
                <w:rFonts w:eastAsia="Calibri"/>
                <w:sz w:val="18"/>
                <w:szCs w:val="18"/>
              </w:rPr>
              <w:t>Otros sectores públicos y Privados</w:t>
            </w:r>
          </w:p>
        </w:tc>
        <w:tc>
          <w:tcPr>
            <w:tcW w:w="2550" w:type="dxa"/>
            <w:shd w:val="clear" w:color="auto" w:fill="auto"/>
            <w:noWrap/>
          </w:tcPr>
          <w:p w:rsidR="00CB537B" w:rsidRPr="00702034" w:rsidRDefault="00CB537B" w:rsidP="00CB537B">
            <w:pPr>
              <w:jc w:val="left"/>
              <w:rPr>
                <w:rFonts w:eastAsia="Calibri"/>
                <w:sz w:val="18"/>
                <w:szCs w:val="18"/>
              </w:rPr>
            </w:pPr>
            <w:r>
              <w:rPr>
                <w:rFonts w:eastAsia="Calibri"/>
                <w:sz w:val="18"/>
                <w:szCs w:val="18"/>
              </w:rPr>
              <w:t>Incorporación de la RRD en el Planeamiento y Ordenamiento Territorial a nivel federal en Argentina</w:t>
            </w:r>
          </w:p>
        </w:tc>
      </w:tr>
      <w:tr w:rsidR="00CB537B" w:rsidRPr="00702034" w:rsidTr="00E94F4D">
        <w:trPr>
          <w:trHeight w:val="1358"/>
        </w:trPr>
        <w:tc>
          <w:tcPr>
            <w:tcW w:w="1162" w:type="dxa"/>
            <w:vMerge/>
            <w:shd w:val="clear" w:color="auto" w:fill="auto"/>
            <w:noWrap/>
            <w:vAlign w:val="center"/>
          </w:tcPr>
          <w:p w:rsidR="00CB537B" w:rsidRPr="00702034" w:rsidRDefault="00CB537B" w:rsidP="00CB537B">
            <w:pPr>
              <w:jc w:val="left"/>
              <w:rPr>
                <w:rFonts w:eastAsia="Calibri"/>
                <w:sz w:val="18"/>
                <w:szCs w:val="18"/>
              </w:rPr>
            </w:pPr>
          </w:p>
        </w:tc>
        <w:tc>
          <w:tcPr>
            <w:tcW w:w="216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Falta de normas de planeamiento, diseño y construcción que incorporen medidas estrictas de RRD para servicios críticos o indispensables y proyectos de inversión</w:t>
            </w:r>
          </w:p>
        </w:tc>
        <w:tc>
          <w:tcPr>
            <w:tcW w:w="3210" w:type="dxa"/>
            <w:shd w:val="clear" w:color="auto" w:fill="auto"/>
            <w:noWrap/>
            <w:vAlign w:val="center"/>
          </w:tcPr>
          <w:p w:rsidR="00CB537B" w:rsidRDefault="00CB537B" w:rsidP="00CB537B">
            <w:pPr>
              <w:ind w:left="20"/>
              <w:jc w:val="left"/>
              <w:rPr>
                <w:rFonts w:eastAsia="Calibri"/>
                <w:sz w:val="18"/>
                <w:szCs w:val="18"/>
              </w:rPr>
            </w:pPr>
            <w:r>
              <w:rPr>
                <w:rFonts w:eastAsia="Calibri"/>
                <w:sz w:val="18"/>
                <w:szCs w:val="18"/>
              </w:rPr>
              <w:t>Evaluación de las amenazas (Atlas de Riesgo) e incorporar de esta información en los planes de ordenamiento territorial e inversión pública</w:t>
            </w:r>
          </w:p>
          <w:p w:rsidR="00CB537B" w:rsidRDefault="00CB537B" w:rsidP="00CB537B">
            <w:pPr>
              <w:ind w:left="20"/>
              <w:jc w:val="left"/>
              <w:rPr>
                <w:rFonts w:eastAsia="Calibri"/>
                <w:sz w:val="18"/>
                <w:szCs w:val="18"/>
              </w:rPr>
            </w:pPr>
          </w:p>
          <w:p w:rsidR="00CB537B" w:rsidRDefault="00CB537B" w:rsidP="00CB537B">
            <w:pPr>
              <w:ind w:left="20"/>
              <w:jc w:val="left"/>
              <w:rPr>
                <w:rFonts w:eastAsia="Calibri"/>
                <w:sz w:val="18"/>
                <w:szCs w:val="18"/>
              </w:rPr>
            </w:pPr>
            <w:r>
              <w:rPr>
                <w:rFonts w:eastAsia="Calibri"/>
                <w:sz w:val="18"/>
                <w:szCs w:val="18"/>
              </w:rPr>
              <w:t>Establecer mecanismos autónomos de cumplimiento de las normas existentes.</w:t>
            </w:r>
          </w:p>
        </w:tc>
        <w:tc>
          <w:tcPr>
            <w:tcW w:w="279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Mejoramiento de la seguridad de las edificaciones indispensables para asegurar su funcionamiento en desastres.</w:t>
            </w:r>
          </w:p>
          <w:p w:rsidR="00CB537B" w:rsidRDefault="00CB537B" w:rsidP="00CB537B">
            <w:pPr>
              <w:jc w:val="left"/>
              <w:rPr>
                <w:rFonts w:eastAsia="Calibri"/>
                <w:sz w:val="18"/>
                <w:szCs w:val="18"/>
              </w:rPr>
            </w:pPr>
          </w:p>
          <w:p w:rsidR="00CB537B" w:rsidRDefault="00CB537B" w:rsidP="00CB537B">
            <w:pPr>
              <w:jc w:val="left"/>
              <w:rPr>
                <w:rFonts w:eastAsia="Calibri"/>
                <w:sz w:val="18"/>
                <w:szCs w:val="18"/>
              </w:rPr>
            </w:pPr>
          </w:p>
        </w:tc>
        <w:tc>
          <w:tcPr>
            <w:tcW w:w="2430" w:type="dxa"/>
            <w:shd w:val="clear" w:color="auto" w:fill="auto"/>
            <w:noWrap/>
            <w:vAlign w:val="center"/>
          </w:tcPr>
          <w:p w:rsidR="00CB537B" w:rsidRDefault="00CB537B" w:rsidP="00CB537B">
            <w:pPr>
              <w:ind w:left="117" w:hanging="117"/>
              <w:jc w:val="left"/>
              <w:rPr>
                <w:rFonts w:eastAsia="Calibri"/>
                <w:sz w:val="18"/>
                <w:szCs w:val="18"/>
              </w:rPr>
            </w:pPr>
            <w:r>
              <w:rPr>
                <w:rFonts w:eastAsia="Calibri"/>
                <w:sz w:val="18"/>
                <w:szCs w:val="18"/>
              </w:rPr>
              <w:t xml:space="preserve"> Sistemas nacionales de gestión de desastres</w:t>
            </w:r>
          </w:p>
          <w:p w:rsidR="00CB537B" w:rsidRDefault="00CB537B" w:rsidP="00CB537B">
            <w:pPr>
              <w:ind w:left="117" w:hanging="117"/>
              <w:jc w:val="left"/>
              <w:rPr>
                <w:rFonts w:eastAsia="Calibri"/>
                <w:sz w:val="18"/>
                <w:szCs w:val="18"/>
              </w:rPr>
            </w:pPr>
            <w:r>
              <w:rPr>
                <w:rFonts w:eastAsia="Calibri"/>
                <w:sz w:val="18"/>
                <w:szCs w:val="18"/>
              </w:rPr>
              <w:t>Asociaciones de Ingeniería y Arquitectura</w:t>
            </w:r>
          </w:p>
          <w:p w:rsidR="00CB537B" w:rsidRDefault="00CB537B" w:rsidP="00CB537B">
            <w:pPr>
              <w:ind w:left="117" w:hanging="117"/>
              <w:jc w:val="left"/>
              <w:rPr>
                <w:rFonts w:eastAsia="Calibri"/>
                <w:sz w:val="18"/>
                <w:szCs w:val="18"/>
              </w:rPr>
            </w:pPr>
            <w:r>
              <w:rPr>
                <w:rFonts w:eastAsia="Calibri"/>
                <w:sz w:val="18"/>
                <w:szCs w:val="18"/>
              </w:rPr>
              <w:t>Sistemas de fiscalización y cumplimiento de las normas</w:t>
            </w:r>
          </w:p>
          <w:p w:rsidR="00CB537B" w:rsidRDefault="00CB537B" w:rsidP="00CB537B">
            <w:pPr>
              <w:ind w:left="117" w:hanging="117"/>
              <w:jc w:val="left"/>
              <w:rPr>
                <w:rFonts w:eastAsia="Calibri"/>
                <w:sz w:val="18"/>
                <w:szCs w:val="18"/>
              </w:rPr>
            </w:pPr>
          </w:p>
        </w:tc>
        <w:tc>
          <w:tcPr>
            <w:tcW w:w="2550" w:type="dxa"/>
            <w:shd w:val="clear" w:color="auto" w:fill="auto"/>
            <w:noWrap/>
          </w:tcPr>
          <w:p w:rsidR="00CB537B" w:rsidRPr="00702034" w:rsidRDefault="00CB537B" w:rsidP="00CB537B">
            <w:pPr>
              <w:jc w:val="left"/>
              <w:rPr>
                <w:rFonts w:eastAsia="Calibri"/>
                <w:sz w:val="18"/>
                <w:szCs w:val="18"/>
              </w:rPr>
            </w:pPr>
            <w:r>
              <w:rPr>
                <w:rFonts w:eastAsia="Calibri"/>
                <w:sz w:val="18"/>
                <w:szCs w:val="18"/>
              </w:rPr>
              <w:t>Nuevas normas de sismo-resistencia de Colombia incorporan la continuidad de la función de los servicios esenciales en desastres.</w:t>
            </w:r>
          </w:p>
        </w:tc>
      </w:tr>
      <w:tr w:rsidR="00CB537B" w:rsidRPr="00702034" w:rsidTr="00E94F4D">
        <w:trPr>
          <w:trHeight w:val="690"/>
        </w:trPr>
        <w:tc>
          <w:tcPr>
            <w:tcW w:w="1162" w:type="dxa"/>
            <w:vMerge/>
            <w:shd w:val="clear" w:color="auto" w:fill="auto"/>
            <w:noWrap/>
            <w:vAlign w:val="center"/>
          </w:tcPr>
          <w:p w:rsidR="00CB537B" w:rsidRPr="00702034" w:rsidRDefault="00CB537B" w:rsidP="00CB537B">
            <w:pPr>
              <w:jc w:val="left"/>
              <w:rPr>
                <w:rFonts w:eastAsia="Calibri"/>
                <w:sz w:val="18"/>
                <w:szCs w:val="18"/>
              </w:rPr>
            </w:pPr>
          </w:p>
        </w:tc>
        <w:tc>
          <w:tcPr>
            <w:tcW w:w="216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Insuficiente conocimiento de la capacidad de RRD a nivel sectorial</w:t>
            </w:r>
          </w:p>
        </w:tc>
        <w:tc>
          <w:tcPr>
            <w:tcW w:w="3210" w:type="dxa"/>
            <w:shd w:val="clear" w:color="auto" w:fill="auto"/>
            <w:noWrap/>
            <w:vAlign w:val="center"/>
          </w:tcPr>
          <w:p w:rsidR="00CB537B" w:rsidRDefault="00CB537B" w:rsidP="00CB537B">
            <w:pPr>
              <w:ind w:left="20"/>
              <w:jc w:val="left"/>
              <w:rPr>
                <w:rFonts w:eastAsia="Calibri"/>
                <w:sz w:val="18"/>
                <w:szCs w:val="18"/>
              </w:rPr>
            </w:pPr>
          </w:p>
          <w:p w:rsidR="00CB537B" w:rsidRDefault="00CB537B" w:rsidP="00CB537B">
            <w:pPr>
              <w:ind w:left="20"/>
              <w:jc w:val="left"/>
              <w:rPr>
                <w:rFonts w:eastAsia="Calibri"/>
                <w:sz w:val="18"/>
                <w:szCs w:val="18"/>
              </w:rPr>
            </w:pPr>
            <w:r>
              <w:rPr>
                <w:rFonts w:eastAsia="Calibri"/>
                <w:sz w:val="18"/>
                <w:szCs w:val="18"/>
              </w:rPr>
              <w:t>Desarrollar instrumentos prácticos y de aplicación rápida para evaluar el estado de avance de la capacidad de los sectores en la RRD</w:t>
            </w:r>
          </w:p>
        </w:tc>
        <w:tc>
          <w:tcPr>
            <w:tcW w:w="279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Contar con información del estado sectorial para la RRD que permita monitorear los avances y determinar la prioridades de intervención</w:t>
            </w:r>
          </w:p>
        </w:tc>
        <w:tc>
          <w:tcPr>
            <w:tcW w:w="2430" w:type="dxa"/>
            <w:shd w:val="clear" w:color="auto" w:fill="auto"/>
            <w:noWrap/>
            <w:vAlign w:val="center"/>
          </w:tcPr>
          <w:p w:rsidR="00CB537B" w:rsidRDefault="00CB537B" w:rsidP="00CB537B">
            <w:pPr>
              <w:ind w:left="117" w:hanging="117"/>
              <w:jc w:val="left"/>
              <w:rPr>
                <w:rFonts w:eastAsia="Calibri"/>
                <w:sz w:val="18"/>
                <w:szCs w:val="18"/>
              </w:rPr>
            </w:pPr>
            <w:r>
              <w:rPr>
                <w:rFonts w:eastAsia="Calibri"/>
                <w:sz w:val="18"/>
                <w:szCs w:val="18"/>
              </w:rPr>
              <w:t>Organismos sectoriales</w:t>
            </w:r>
          </w:p>
          <w:p w:rsidR="00CB537B" w:rsidRDefault="00CB537B" w:rsidP="00CB537B">
            <w:pPr>
              <w:ind w:left="117" w:hanging="117"/>
              <w:jc w:val="left"/>
              <w:rPr>
                <w:rFonts w:eastAsia="Calibri"/>
                <w:sz w:val="18"/>
                <w:szCs w:val="18"/>
              </w:rPr>
            </w:pPr>
            <w:r>
              <w:rPr>
                <w:rFonts w:eastAsia="Calibri"/>
                <w:sz w:val="18"/>
                <w:szCs w:val="18"/>
              </w:rPr>
              <w:t>Organismos Nacionales de Gestión de Riesgo de Desastres</w:t>
            </w:r>
          </w:p>
        </w:tc>
        <w:tc>
          <w:tcPr>
            <w:tcW w:w="2550" w:type="dxa"/>
            <w:shd w:val="clear" w:color="auto" w:fill="auto"/>
            <w:noWrap/>
          </w:tcPr>
          <w:p w:rsidR="00CB537B" w:rsidRPr="00702034" w:rsidRDefault="00CB537B" w:rsidP="00CB537B">
            <w:pPr>
              <w:jc w:val="left"/>
              <w:rPr>
                <w:rFonts w:eastAsia="Calibri"/>
                <w:sz w:val="18"/>
                <w:szCs w:val="18"/>
              </w:rPr>
            </w:pPr>
            <w:r>
              <w:rPr>
                <w:rFonts w:eastAsia="Calibri"/>
                <w:sz w:val="18"/>
                <w:szCs w:val="18"/>
              </w:rPr>
              <w:t>La aplicación del instrumento de auto-evaluación de la RRD en salud en los países del Caribe ha permitido determinar las prioridades e implementar soluciones incluyendo la implementación de hospitales seguros.</w:t>
            </w:r>
          </w:p>
        </w:tc>
      </w:tr>
      <w:tr w:rsidR="00CB537B" w:rsidRPr="00702034" w:rsidTr="00E94F4D">
        <w:trPr>
          <w:trHeight w:val="465"/>
        </w:trPr>
        <w:tc>
          <w:tcPr>
            <w:tcW w:w="1162" w:type="dxa"/>
            <w:vMerge/>
            <w:shd w:val="clear" w:color="auto" w:fill="auto"/>
            <w:noWrap/>
            <w:vAlign w:val="center"/>
          </w:tcPr>
          <w:p w:rsidR="00CB537B" w:rsidRPr="00702034" w:rsidRDefault="00CB537B" w:rsidP="00CB537B">
            <w:pPr>
              <w:jc w:val="left"/>
              <w:rPr>
                <w:rFonts w:eastAsia="Calibri"/>
                <w:sz w:val="18"/>
                <w:szCs w:val="18"/>
              </w:rPr>
            </w:pPr>
          </w:p>
        </w:tc>
        <w:tc>
          <w:tcPr>
            <w:tcW w:w="216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Insuficientes Políticas Sectoriales de gestión de riesgo de desastres.</w:t>
            </w:r>
          </w:p>
          <w:p w:rsidR="00CB537B" w:rsidRDefault="00CB537B" w:rsidP="00CB537B">
            <w:pPr>
              <w:jc w:val="left"/>
              <w:rPr>
                <w:rFonts w:eastAsia="Calibri"/>
                <w:sz w:val="18"/>
                <w:szCs w:val="18"/>
              </w:rPr>
            </w:pPr>
          </w:p>
          <w:p w:rsidR="00CB537B" w:rsidRDefault="00CB537B" w:rsidP="00CB537B">
            <w:pPr>
              <w:jc w:val="left"/>
              <w:rPr>
                <w:rFonts w:eastAsia="Calibri"/>
                <w:sz w:val="18"/>
                <w:szCs w:val="18"/>
              </w:rPr>
            </w:pPr>
            <w:r>
              <w:rPr>
                <w:rFonts w:eastAsia="Calibri"/>
                <w:sz w:val="18"/>
                <w:szCs w:val="18"/>
              </w:rPr>
              <w:t>Hospitales y otros servicios críticos no garantizan su funcionamiento en desastres.</w:t>
            </w:r>
          </w:p>
          <w:p w:rsidR="00CB537B" w:rsidRDefault="00CB537B" w:rsidP="00CB537B">
            <w:pPr>
              <w:jc w:val="left"/>
              <w:rPr>
                <w:rFonts w:eastAsia="Calibri"/>
                <w:sz w:val="18"/>
                <w:szCs w:val="18"/>
              </w:rPr>
            </w:pPr>
          </w:p>
        </w:tc>
        <w:tc>
          <w:tcPr>
            <w:tcW w:w="3210" w:type="dxa"/>
            <w:shd w:val="clear" w:color="auto" w:fill="auto"/>
            <w:noWrap/>
            <w:vAlign w:val="center"/>
          </w:tcPr>
          <w:p w:rsidR="00CB537B" w:rsidRDefault="00CB537B" w:rsidP="00CB537B">
            <w:pPr>
              <w:ind w:left="20"/>
              <w:jc w:val="left"/>
              <w:rPr>
                <w:rFonts w:eastAsia="Calibri"/>
                <w:sz w:val="18"/>
                <w:szCs w:val="18"/>
              </w:rPr>
            </w:pPr>
          </w:p>
          <w:p w:rsidR="00CB537B" w:rsidRDefault="00CB537B" w:rsidP="00CB537B">
            <w:pPr>
              <w:ind w:left="20"/>
              <w:jc w:val="left"/>
              <w:rPr>
                <w:rFonts w:eastAsia="Calibri"/>
                <w:sz w:val="18"/>
                <w:szCs w:val="18"/>
              </w:rPr>
            </w:pPr>
            <w:r>
              <w:rPr>
                <w:rFonts w:eastAsia="Calibri"/>
                <w:sz w:val="18"/>
                <w:szCs w:val="18"/>
              </w:rPr>
              <w:t xml:space="preserve">Diseñar y aprobar políticas sectoriales de gestión de riesgo de desastres </w:t>
            </w:r>
          </w:p>
          <w:p w:rsidR="00CB537B" w:rsidRDefault="00CB537B" w:rsidP="00CB537B">
            <w:pPr>
              <w:ind w:left="20"/>
              <w:jc w:val="left"/>
              <w:rPr>
                <w:rFonts w:eastAsia="Calibri"/>
                <w:sz w:val="18"/>
                <w:szCs w:val="18"/>
              </w:rPr>
            </w:pPr>
          </w:p>
          <w:p w:rsidR="00CB537B" w:rsidRDefault="00CB537B" w:rsidP="00CB537B">
            <w:pPr>
              <w:ind w:left="20"/>
              <w:jc w:val="left"/>
              <w:rPr>
                <w:rFonts w:eastAsia="Calibri"/>
                <w:sz w:val="18"/>
                <w:szCs w:val="18"/>
              </w:rPr>
            </w:pPr>
            <w:r>
              <w:rPr>
                <w:rFonts w:eastAsia="Calibri"/>
                <w:sz w:val="18"/>
                <w:szCs w:val="18"/>
              </w:rPr>
              <w:t>Mejorar la seguridad funcional, no-estructural y estructural en edificaciones críticas.</w:t>
            </w:r>
          </w:p>
          <w:p w:rsidR="00CB537B" w:rsidRDefault="00CB537B" w:rsidP="00CB537B">
            <w:pPr>
              <w:ind w:left="20"/>
              <w:jc w:val="left"/>
              <w:rPr>
                <w:rFonts w:eastAsia="Calibri"/>
                <w:sz w:val="18"/>
                <w:szCs w:val="18"/>
              </w:rPr>
            </w:pPr>
          </w:p>
          <w:p w:rsidR="00CB537B" w:rsidRDefault="00CB537B" w:rsidP="00CB537B">
            <w:pPr>
              <w:ind w:left="20"/>
              <w:jc w:val="left"/>
              <w:rPr>
                <w:rFonts w:eastAsia="Calibri"/>
                <w:sz w:val="18"/>
                <w:szCs w:val="18"/>
              </w:rPr>
            </w:pPr>
            <w:r>
              <w:rPr>
                <w:rFonts w:eastAsia="Calibri"/>
                <w:sz w:val="18"/>
                <w:szCs w:val="18"/>
              </w:rPr>
              <w:t>Asignación de recursos financieros adicionales para la intervención de riesgo a nivel sectorial.</w:t>
            </w:r>
          </w:p>
        </w:tc>
        <w:tc>
          <w:tcPr>
            <w:tcW w:w="279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Todos los países implementan políticas nacionales de hospitales seguros y de seguridad en otros servicios indispensables y prioritarios.</w:t>
            </w:r>
          </w:p>
          <w:p w:rsidR="00CB537B" w:rsidRDefault="00CB537B" w:rsidP="00CB537B">
            <w:pPr>
              <w:jc w:val="left"/>
              <w:rPr>
                <w:rFonts w:eastAsia="Calibri"/>
                <w:sz w:val="18"/>
                <w:szCs w:val="18"/>
              </w:rPr>
            </w:pPr>
          </w:p>
          <w:p w:rsidR="00CB537B" w:rsidRDefault="00CB537B" w:rsidP="00CB537B">
            <w:pPr>
              <w:jc w:val="left"/>
              <w:rPr>
                <w:rFonts w:eastAsia="Calibri"/>
                <w:sz w:val="18"/>
                <w:szCs w:val="18"/>
              </w:rPr>
            </w:pPr>
            <w:r>
              <w:rPr>
                <w:rFonts w:eastAsia="Calibri"/>
                <w:sz w:val="18"/>
                <w:szCs w:val="18"/>
              </w:rPr>
              <w:t>El 100% de los hospitales han sido evaluados y al menos el 50% de los clasificados en categoría B y C, han mejorado su nivel de seguridad.</w:t>
            </w:r>
          </w:p>
          <w:p w:rsidR="00CB537B" w:rsidRDefault="00CB537B" w:rsidP="00CB537B">
            <w:pPr>
              <w:jc w:val="left"/>
              <w:rPr>
                <w:rFonts w:eastAsia="Calibri"/>
                <w:sz w:val="18"/>
                <w:szCs w:val="18"/>
              </w:rPr>
            </w:pPr>
          </w:p>
          <w:p w:rsidR="00CB537B" w:rsidRDefault="00CB537B" w:rsidP="00CB537B">
            <w:pPr>
              <w:jc w:val="left"/>
              <w:rPr>
                <w:rFonts w:eastAsia="Calibri"/>
                <w:sz w:val="18"/>
                <w:szCs w:val="18"/>
              </w:rPr>
            </w:pPr>
            <w:r>
              <w:rPr>
                <w:rFonts w:eastAsia="Calibri"/>
                <w:sz w:val="18"/>
                <w:szCs w:val="18"/>
              </w:rPr>
              <w:t>Todos los sectores cuentan con presupuesto asignados por resultados para la RRD.</w:t>
            </w:r>
          </w:p>
        </w:tc>
        <w:tc>
          <w:tcPr>
            <w:tcW w:w="2430" w:type="dxa"/>
            <w:shd w:val="clear" w:color="auto" w:fill="auto"/>
            <w:noWrap/>
            <w:vAlign w:val="center"/>
          </w:tcPr>
          <w:p w:rsidR="00CB537B" w:rsidRDefault="00CB537B" w:rsidP="00CB537B">
            <w:pPr>
              <w:ind w:left="117" w:hanging="117"/>
              <w:jc w:val="left"/>
              <w:rPr>
                <w:rFonts w:eastAsia="Calibri"/>
                <w:sz w:val="18"/>
                <w:szCs w:val="18"/>
              </w:rPr>
            </w:pPr>
            <w:r>
              <w:rPr>
                <w:rFonts w:eastAsia="Calibri"/>
                <w:sz w:val="18"/>
                <w:szCs w:val="18"/>
              </w:rPr>
              <w:t>Organismos Nacionales de Gestión de Riesgo</w:t>
            </w:r>
          </w:p>
          <w:p w:rsidR="00CB537B" w:rsidRDefault="00CB537B" w:rsidP="00CB537B">
            <w:pPr>
              <w:ind w:left="117" w:hanging="117"/>
              <w:jc w:val="left"/>
              <w:rPr>
                <w:rFonts w:eastAsia="Calibri"/>
                <w:sz w:val="18"/>
                <w:szCs w:val="18"/>
              </w:rPr>
            </w:pPr>
            <w:r>
              <w:rPr>
                <w:rFonts w:eastAsia="Calibri"/>
                <w:sz w:val="18"/>
                <w:szCs w:val="18"/>
              </w:rPr>
              <w:t>Sectores responsables de servicios indispensables en desastres</w:t>
            </w:r>
          </w:p>
          <w:p w:rsidR="00CB537B" w:rsidRDefault="00CB537B" w:rsidP="00CB537B">
            <w:pPr>
              <w:ind w:left="117" w:hanging="117"/>
              <w:jc w:val="left"/>
              <w:rPr>
                <w:rFonts w:eastAsia="Calibri"/>
                <w:sz w:val="18"/>
                <w:szCs w:val="18"/>
              </w:rPr>
            </w:pPr>
            <w:r>
              <w:rPr>
                <w:rFonts w:eastAsia="Calibri"/>
                <w:sz w:val="18"/>
                <w:szCs w:val="18"/>
              </w:rPr>
              <w:t>Sector Economía, Finanzas y Hacienda</w:t>
            </w:r>
          </w:p>
          <w:p w:rsidR="00CB537B" w:rsidRDefault="00CB537B" w:rsidP="00CB537B">
            <w:pPr>
              <w:ind w:left="117" w:hanging="117"/>
              <w:jc w:val="left"/>
              <w:rPr>
                <w:rFonts w:eastAsia="Calibri"/>
                <w:sz w:val="18"/>
                <w:szCs w:val="18"/>
              </w:rPr>
            </w:pPr>
            <w:r>
              <w:rPr>
                <w:rFonts w:eastAsia="Calibri"/>
                <w:sz w:val="18"/>
                <w:szCs w:val="18"/>
              </w:rPr>
              <w:t>Otros sectores</w:t>
            </w:r>
          </w:p>
          <w:p w:rsidR="00CB537B" w:rsidRDefault="00CB537B" w:rsidP="00CB537B">
            <w:pPr>
              <w:ind w:left="117" w:hanging="117"/>
              <w:jc w:val="left"/>
              <w:rPr>
                <w:rFonts w:eastAsia="Calibri"/>
                <w:sz w:val="18"/>
                <w:szCs w:val="18"/>
              </w:rPr>
            </w:pPr>
          </w:p>
        </w:tc>
        <w:tc>
          <w:tcPr>
            <w:tcW w:w="2550" w:type="dxa"/>
            <w:shd w:val="clear" w:color="auto" w:fill="auto"/>
            <w:noWrap/>
          </w:tcPr>
          <w:p w:rsidR="00CB537B" w:rsidRDefault="00CB537B" w:rsidP="00CB537B">
            <w:pPr>
              <w:jc w:val="left"/>
              <w:rPr>
                <w:rFonts w:eastAsia="Calibri"/>
                <w:sz w:val="18"/>
                <w:szCs w:val="18"/>
              </w:rPr>
            </w:pPr>
            <w:r>
              <w:rPr>
                <w:rFonts w:eastAsia="Calibri"/>
                <w:sz w:val="18"/>
                <w:szCs w:val="18"/>
              </w:rPr>
              <w:t>Planes y Programas Nacionales de Hospitales Seguros frente a Desastres en Perú, México, Ecuador, Colombia y otros.</w:t>
            </w:r>
          </w:p>
          <w:p w:rsidR="00CB537B" w:rsidRDefault="00CB537B" w:rsidP="00CB537B">
            <w:pPr>
              <w:jc w:val="left"/>
              <w:rPr>
                <w:rFonts w:eastAsia="Calibri"/>
                <w:sz w:val="18"/>
                <w:szCs w:val="18"/>
              </w:rPr>
            </w:pPr>
          </w:p>
          <w:p w:rsidR="00CB537B" w:rsidRPr="00702034" w:rsidRDefault="00CB537B" w:rsidP="00CB537B">
            <w:pPr>
              <w:jc w:val="left"/>
              <w:rPr>
                <w:rFonts w:eastAsia="Calibri"/>
                <w:sz w:val="18"/>
                <w:szCs w:val="18"/>
              </w:rPr>
            </w:pPr>
            <w:r>
              <w:rPr>
                <w:rFonts w:eastAsia="Calibri"/>
                <w:sz w:val="18"/>
                <w:szCs w:val="18"/>
              </w:rPr>
              <w:t>Comités nacionales y sub-nacionales de gestión de riesgo de desastres</w:t>
            </w:r>
          </w:p>
        </w:tc>
      </w:tr>
      <w:tr w:rsidR="00CB537B" w:rsidRPr="00702034" w:rsidTr="00E94F4D">
        <w:trPr>
          <w:trHeight w:val="1920"/>
        </w:trPr>
        <w:tc>
          <w:tcPr>
            <w:tcW w:w="1162" w:type="dxa"/>
            <w:vMerge/>
            <w:shd w:val="clear" w:color="auto" w:fill="auto"/>
            <w:noWrap/>
            <w:vAlign w:val="center"/>
          </w:tcPr>
          <w:p w:rsidR="00CB537B" w:rsidRPr="00702034" w:rsidRDefault="00CB537B" w:rsidP="00CB537B">
            <w:pPr>
              <w:jc w:val="left"/>
              <w:rPr>
                <w:rFonts w:eastAsia="Calibri"/>
                <w:sz w:val="18"/>
                <w:szCs w:val="18"/>
              </w:rPr>
            </w:pPr>
          </w:p>
        </w:tc>
        <w:tc>
          <w:tcPr>
            <w:tcW w:w="2160" w:type="dxa"/>
            <w:shd w:val="clear" w:color="auto" w:fill="auto"/>
            <w:noWrap/>
            <w:vAlign w:val="center"/>
          </w:tcPr>
          <w:p w:rsidR="00CB537B" w:rsidRDefault="00CB537B" w:rsidP="00CB537B">
            <w:pPr>
              <w:jc w:val="left"/>
              <w:rPr>
                <w:rFonts w:eastAsia="Calibri"/>
                <w:sz w:val="18"/>
                <w:szCs w:val="18"/>
              </w:rPr>
            </w:pPr>
          </w:p>
          <w:p w:rsidR="00CB537B" w:rsidRDefault="00CB537B" w:rsidP="00CB537B">
            <w:pPr>
              <w:jc w:val="left"/>
              <w:rPr>
                <w:rFonts w:eastAsia="Calibri"/>
                <w:sz w:val="18"/>
                <w:szCs w:val="18"/>
              </w:rPr>
            </w:pPr>
            <w:r>
              <w:rPr>
                <w:rFonts w:eastAsia="Calibri"/>
                <w:sz w:val="18"/>
                <w:szCs w:val="18"/>
              </w:rPr>
              <w:t xml:space="preserve">Ausencia de sistemas de formación en gestión de riesgo de desastres. homologados, certificación y de acreditación </w:t>
            </w:r>
          </w:p>
        </w:tc>
        <w:tc>
          <w:tcPr>
            <w:tcW w:w="321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 xml:space="preserve">Desarrollo de iniciativas de educación y formación en gestión de riesgo de desastres </w:t>
            </w:r>
          </w:p>
          <w:p w:rsidR="00CB537B" w:rsidRDefault="00CB537B" w:rsidP="00CB537B">
            <w:pPr>
              <w:jc w:val="left"/>
              <w:rPr>
                <w:rFonts w:eastAsia="Calibri"/>
                <w:sz w:val="18"/>
                <w:szCs w:val="18"/>
              </w:rPr>
            </w:pPr>
          </w:p>
          <w:p w:rsidR="00CB537B" w:rsidRDefault="00CB537B" w:rsidP="00CB537B">
            <w:pPr>
              <w:jc w:val="left"/>
              <w:rPr>
                <w:rFonts w:eastAsia="Calibri"/>
                <w:sz w:val="18"/>
                <w:szCs w:val="18"/>
              </w:rPr>
            </w:pPr>
          </w:p>
        </w:tc>
        <w:tc>
          <w:tcPr>
            <w:tcW w:w="279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Incorporación de la gestión de riesgo a nivel educativo en todos los niveles y sectores.</w:t>
            </w:r>
          </w:p>
        </w:tc>
        <w:tc>
          <w:tcPr>
            <w:tcW w:w="2430" w:type="dxa"/>
            <w:shd w:val="clear" w:color="auto" w:fill="auto"/>
            <w:noWrap/>
            <w:vAlign w:val="center"/>
          </w:tcPr>
          <w:p w:rsidR="00CB537B" w:rsidRDefault="00CB537B" w:rsidP="00CB537B">
            <w:pPr>
              <w:ind w:left="117" w:hanging="117"/>
              <w:jc w:val="left"/>
              <w:rPr>
                <w:rFonts w:eastAsia="Calibri"/>
                <w:sz w:val="18"/>
                <w:szCs w:val="18"/>
              </w:rPr>
            </w:pPr>
            <w:r>
              <w:rPr>
                <w:rFonts w:eastAsia="Calibri"/>
                <w:sz w:val="18"/>
                <w:szCs w:val="18"/>
              </w:rPr>
              <w:t>Sector Educación</w:t>
            </w:r>
          </w:p>
          <w:p w:rsidR="00CB537B" w:rsidRDefault="00CB537B" w:rsidP="00CB537B">
            <w:pPr>
              <w:ind w:left="117" w:hanging="117"/>
              <w:jc w:val="left"/>
              <w:rPr>
                <w:rFonts w:eastAsia="Calibri"/>
                <w:sz w:val="18"/>
                <w:szCs w:val="18"/>
              </w:rPr>
            </w:pPr>
            <w:r>
              <w:rPr>
                <w:rFonts w:eastAsia="Calibri"/>
                <w:sz w:val="18"/>
                <w:szCs w:val="18"/>
              </w:rPr>
              <w:t>Universidades</w:t>
            </w:r>
          </w:p>
          <w:p w:rsidR="00CB537B" w:rsidRDefault="00CB537B" w:rsidP="00CB537B">
            <w:pPr>
              <w:ind w:left="117" w:hanging="117"/>
              <w:jc w:val="left"/>
              <w:rPr>
                <w:rFonts w:eastAsia="Calibri"/>
                <w:sz w:val="18"/>
                <w:szCs w:val="18"/>
              </w:rPr>
            </w:pPr>
            <w:r>
              <w:rPr>
                <w:rFonts w:eastAsia="Calibri"/>
                <w:sz w:val="18"/>
                <w:szCs w:val="18"/>
              </w:rPr>
              <w:t>Centros de Investigación y Formación en RRD</w:t>
            </w:r>
          </w:p>
          <w:p w:rsidR="00CB537B" w:rsidRDefault="00CB537B" w:rsidP="00CB537B">
            <w:pPr>
              <w:ind w:left="117" w:hanging="117"/>
              <w:jc w:val="left"/>
              <w:rPr>
                <w:rFonts w:eastAsia="Calibri"/>
                <w:sz w:val="18"/>
                <w:szCs w:val="18"/>
              </w:rPr>
            </w:pPr>
            <w:r>
              <w:rPr>
                <w:rFonts w:eastAsia="Calibri"/>
                <w:sz w:val="18"/>
                <w:szCs w:val="18"/>
              </w:rPr>
              <w:t>Otros sectores con entidades de educación y formación profesional a nivel sectorial.</w:t>
            </w:r>
          </w:p>
        </w:tc>
        <w:tc>
          <w:tcPr>
            <w:tcW w:w="2550" w:type="dxa"/>
            <w:shd w:val="clear" w:color="auto" w:fill="auto"/>
            <w:noWrap/>
          </w:tcPr>
          <w:p w:rsidR="00CB537B" w:rsidRPr="00702034" w:rsidRDefault="00CB537B" w:rsidP="00CB537B">
            <w:pPr>
              <w:jc w:val="left"/>
              <w:rPr>
                <w:rFonts w:eastAsia="Calibri"/>
                <w:sz w:val="18"/>
                <w:szCs w:val="18"/>
              </w:rPr>
            </w:pPr>
            <w:r>
              <w:rPr>
                <w:rFonts w:eastAsia="Calibri"/>
                <w:sz w:val="18"/>
                <w:szCs w:val="18"/>
              </w:rPr>
              <w:t>Escuela Nacional de Protección Civil en México</w:t>
            </w:r>
          </w:p>
        </w:tc>
      </w:tr>
      <w:tr w:rsidR="00CB537B" w:rsidRPr="00702034" w:rsidTr="00E94F4D">
        <w:trPr>
          <w:trHeight w:val="240"/>
        </w:trPr>
        <w:tc>
          <w:tcPr>
            <w:tcW w:w="1162" w:type="dxa"/>
            <w:vMerge/>
            <w:shd w:val="clear" w:color="auto" w:fill="auto"/>
            <w:noWrap/>
            <w:vAlign w:val="center"/>
          </w:tcPr>
          <w:p w:rsidR="00CB537B" w:rsidRPr="00702034" w:rsidRDefault="00CB537B" w:rsidP="00CB537B">
            <w:pPr>
              <w:jc w:val="left"/>
              <w:rPr>
                <w:rFonts w:eastAsia="Calibri"/>
                <w:sz w:val="18"/>
                <w:szCs w:val="18"/>
              </w:rPr>
            </w:pPr>
          </w:p>
        </w:tc>
        <w:tc>
          <w:tcPr>
            <w:tcW w:w="216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Sectores como el de agricultura, turismo y otros han incorporado insuficientemente la RRD</w:t>
            </w:r>
          </w:p>
        </w:tc>
        <w:tc>
          <w:tcPr>
            <w:tcW w:w="321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Favorecer la incorporación de RRD en los sectores que integran poblaciones de menores recursos como agricultura</w:t>
            </w:r>
          </w:p>
          <w:p w:rsidR="00CB537B" w:rsidRDefault="00CB537B" w:rsidP="00CB537B">
            <w:pPr>
              <w:jc w:val="left"/>
              <w:rPr>
                <w:rFonts w:eastAsia="Calibri"/>
                <w:sz w:val="18"/>
                <w:szCs w:val="18"/>
              </w:rPr>
            </w:pPr>
          </w:p>
          <w:p w:rsidR="00CB537B" w:rsidRDefault="00CB537B" w:rsidP="00CB537B">
            <w:pPr>
              <w:jc w:val="left"/>
              <w:rPr>
                <w:rFonts w:eastAsia="Calibri"/>
                <w:sz w:val="18"/>
                <w:szCs w:val="18"/>
              </w:rPr>
            </w:pPr>
            <w:r>
              <w:rPr>
                <w:rFonts w:eastAsia="Calibri"/>
                <w:sz w:val="18"/>
                <w:szCs w:val="18"/>
              </w:rPr>
              <w:t>Implementar medidas de RRD y aseguramiento frente a desastres en estos sectores involucrando al sector privado</w:t>
            </w:r>
          </w:p>
        </w:tc>
        <w:tc>
          <w:tcPr>
            <w:tcW w:w="279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Incorporación de la gestión de RD en el sector privado y público</w:t>
            </w:r>
          </w:p>
        </w:tc>
        <w:tc>
          <w:tcPr>
            <w:tcW w:w="2430" w:type="dxa"/>
            <w:shd w:val="clear" w:color="auto" w:fill="auto"/>
            <w:noWrap/>
            <w:vAlign w:val="center"/>
          </w:tcPr>
          <w:p w:rsidR="00CB537B" w:rsidRDefault="00CB537B" w:rsidP="00CB537B">
            <w:pPr>
              <w:ind w:left="117" w:hanging="117"/>
              <w:jc w:val="left"/>
              <w:rPr>
                <w:rFonts w:eastAsia="Calibri"/>
                <w:sz w:val="18"/>
                <w:szCs w:val="18"/>
              </w:rPr>
            </w:pPr>
            <w:r>
              <w:rPr>
                <w:rFonts w:eastAsia="Calibri"/>
                <w:sz w:val="18"/>
                <w:szCs w:val="18"/>
              </w:rPr>
              <w:t>Sector agricultura y otros.</w:t>
            </w:r>
          </w:p>
          <w:p w:rsidR="00CB537B" w:rsidRDefault="00CB537B" w:rsidP="00CB537B">
            <w:pPr>
              <w:ind w:left="117" w:hanging="117"/>
              <w:jc w:val="left"/>
              <w:rPr>
                <w:rFonts w:eastAsia="Calibri"/>
                <w:sz w:val="18"/>
                <w:szCs w:val="18"/>
              </w:rPr>
            </w:pPr>
            <w:r>
              <w:rPr>
                <w:rFonts w:eastAsia="Calibri"/>
                <w:sz w:val="18"/>
                <w:szCs w:val="18"/>
              </w:rPr>
              <w:t>FAO</w:t>
            </w:r>
          </w:p>
          <w:p w:rsidR="00CB537B" w:rsidRDefault="00CB537B" w:rsidP="00CB537B">
            <w:pPr>
              <w:ind w:left="117" w:hanging="117"/>
              <w:jc w:val="left"/>
              <w:rPr>
                <w:rFonts w:eastAsia="Calibri"/>
                <w:sz w:val="18"/>
                <w:szCs w:val="18"/>
              </w:rPr>
            </w:pPr>
            <w:r>
              <w:rPr>
                <w:rFonts w:eastAsia="Calibri"/>
                <w:sz w:val="18"/>
                <w:szCs w:val="18"/>
              </w:rPr>
              <w:t>Banco Mundial</w:t>
            </w:r>
          </w:p>
          <w:p w:rsidR="00CB537B" w:rsidRDefault="00CB537B" w:rsidP="00CB537B">
            <w:pPr>
              <w:ind w:left="117" w:hanging="117"/>
              <w:jc w:val="left"/>
              <w:rPr>
                <w:rFonts w:eastAsia="Calibri"/>
                <w:sz w:val="18"/>
                <w:szCs w:val="18"/>
              </w:rPr>
            </w:pPr>
            <w:r>
              <w:rPr>
                <w:rFonts w:eastAsia="Calibri"/>
                <w:sz w:val="18"/>
                <w:szCs w:val="18"/>
              </w:rPr>
              <w:t>Organismos de financiamiento internacional y nacional</w:t>
            </w:r>
          </w:p>
          <w:p w:rsidR="00CB537B" w:rsidRDefault="00CB537B" w:rsidP="00CB537B">
            <w:pPr>
              <w:ind w:left="117" w:hanging="117"/>
              <w:jc w:val="left"/>
              <w:rPr>
                <w:rFonts w:eastAsia="Calibri"/>
                <w:sz w:val="18"/>
                <w:szCs w:val="18"/>
              </w:rPr>
            </w:pPr>
            <w:r>
              <w:rPr>
                <w:rFonts w:eastAsia="Calibri"/>
                <w:sz w:val="18"/>
                <w:szCs w:val="18"/>
              </w:rPr>
              <w:t>Sistemas de seguro y reaseguro</w:t>
            </w:r>
          </w:p>
        </w:tc>
        <w:tc>
          <w:tcPr>
            <w:tcW w:w="2550" w:type="dxa"/>
            <w:shd w:val="clear" w:color="auto" w:fill="auto"/>
            <w:noWrap/>
          </w:tcPr>
          <w:p w:rsidR="00CB537B" w:rsidRDefault="00CB537B" w:rsidP="00CB537B">
            <w:pPr>
              <w:jc w:val="left"/>
              <w:rPr>
                <w:rFonts w:eastAsia="Calibri"/>
                <w:sz w:val="18"/>
                <w:szCs w:val="18"/>
              </w:rPr>
            </w:pPr>
            <w:r>
              <w:rPr>
                <w:rFonts w:eastAsia="Calibri"/>
                <w:sz w:val="18"/>
                <w:szCs w:val="18"/>
              </w:rPr>
              <w:t>Programa de seguro agrícola de nivel familiar en Brasil (SEAF)</w:t>
            </w:r>
          </w:p>
        </w:tc>
      </w:tr>
      <w:tr w:rsidR="00CB537B" w:rsidRPr="00702034" w:rsidTr="00E94F4D">
        <w:trPr>
          <w:trHeight w:val="2235"/>
        </w:trPr>
        <w:tc>
          <w:tcPr>
            <w:tcW w:w="1162" w:type="dxa"/>
            <w:shd w:val="clear" w:color="auto" w:fill="auto"/>
            <w:noWrap/>
            <w:vAlign w:val="center"/>
          </w:tcPr>
          <w:p w:rsidR="00CB537B" w:rsidRPr="00702034" w:rsidRDefault="00CB537B" w:rsidP="00CB537B">
            <w:pPr>
              <w:jc w:val="left"/>
              <w:rPr>
                <w:rFonts w:eastAsia="Calibri"/>
                <w:sz w:val="18"/>
                <w:szCs w:val="18"/>
              </w:rPr>
            </w:pPr>
            <w:r w:rsidRPr="00702034">
              <w:rPr>
                <w:rFonts w:eastAsia="Calibri"/>
                <w:sz w:val="18"/>
                <w:szCs w:val="18"/>
              </w:rPr>
              <w:t>Local</w:t>
            </w:r>
          </w:p>
        </w:tc>
        <w:tc>
          <w:tcPr>
            <w:tcW w:w="2160" w:type="dxa"/>
            <w:shd w:val="clear" w:color="auto" w:fill="auto"/>
            <w:noWrap/>
            <w:vAlign w:val="center"/>
          </w:tcPr>
          <w:p w:rsidR="00CB537B" w:rsidRPr="00702034" w:rsidRDefault="00CB537B" w:rsidP="00CB537B">
            <w:pPr>
              <w:jc w:val="left"/>
              <w:rPr>
                <w:rFonts w:eastAsia="Calibri"/>
                <w:sz w:val="18"/>
                <w:szCs w:val="18"/>
              </w:rPr>
            </w:pPr>
            <w:r>
              <w:rPr>
                <w:rFonts w:eastAsia="Calibri"/>
                <w:sz w:val="18"/>
                <w:szCs w:val="18"/>
              </w:rPr>
              <w:t>Falta de conocimiento de sobre la gestión de riesgos y sobre la situación de seguridad de la infraestructura crítica a nivel local</w:t>
            </w:r>
          </w:p>
        </w:tc>
        <w:tc>
          <w:tcPr>
            <w:tcW w:w="3210" w:type="dxa"/>
            <w:shd w:val="clear" w:color="auto" w:fill="auto"/>
            <w:noWrap/>
            <w:vAlign w:val="center"/>
          </w:tcPr>
          <w:p w:rsidR="00CB537B" w:rsidRDefault="00CB537B" w:rsidP="00CB537B">
            <w:pPr>
              <w:ind w:left="20"/>
              <w:jc w:val="left"/>
              <w:rPr>
                <w:rFonts w:eastAsia="Calibri"/>
                <w:sz w:val="18"/>
                <w:szCs w:val="18"/>
              </w:rPr>
            </w:pPr>
            <w:r>
              <w:rPr>
                <w:rFonts w:eastAsia="Calibri"/>
                <w:sz w:val="18"/>
                <w:szCs w:val="18"/>
              </w:rPr>
              <w:t>Implementación de mecanismos rápidos, de bajo costo y de alta utilidad para determinar la seguridad de infraestructura indispensable a nivel municipal y local</w:t>
            </w:r>
          </w:p>
          <w:p w:rsidR="00CB537B" w:rsidRDefault="00CB537B" w:rsidP="00CB537B">
            <w:pPr>
              <w:ind w:left="20"/>
              <w:jc w:val="left"/>
              <w:rPr>
                <w:rFonts w:eastAsia="Calibri"/>
                <w:sz w:val="18"/>
                <w:szCs w:val="18"/>
              </w:rPr>
            </w:pPr>
          </w:p>
          <w:p w:rsidR="00CB537B" w:rsidRPr="00702034" w:rsidRDefault="00CB537B" w:rsidP="00CB537B">
            <w:pPr>
              <w:ind w:left="20"/>
              <w:jc w:val="left"/>
              <w:rPr>
                <w:rFonts w:eastAsia="Calibri"/>
                <w:sz w:val="18"/>
                <w:szCs w:val="18"/>
              </w:rPr>
            </w:pPr>
            <w:r>
              <w:rPr>
                <w:rFonts w:eastAsia="Calibri"/>
                <w:sz w:val="18"/>
                <w:szCs w:val="18"/>
              </w:rPr>
              <w:t>Identificar espacios para la incorporación de la sociedad civil y la equidad de género en la RRD</w:t>
            </w:r>
          </w:p>
        </w:tc>
        <w:tc>
          <w:tcPr>
            <w:tcW w:w="2790" w:type="dxa"/>
            <w:shd w:val="clear" w:color="auto" w:fill="auto"/>
            <w:noWrap/>
            <w:vAlign w:val="center"/>
          </w:tcPr>
          <w:p w:rsidR="00CB537B" w:rsidRDefault="00CB537B" w:rsidP="00CB537B">
            <w:pPr>
              <w:jc w:val="left"/>
              <w:rPr>
                <w:rFonts w:eastAsia="Calibri"/>
                <w:sz w:val="18"/>
                <w:szCs w:val="18"/>
              </w:rPr>
            </w:pPr>
            <w:r>
              <w:rPr>
                <w:rFonts w:eastAsia="Calibri"/>
                <w:sz w:val="18"/>
                <w:szCs w:val="18"/>
              </w:rPr>
              <w:t>Aplicación de los planes y programas nacionales a nivel local</w:t>
            </w:r>
          </w:p>
          <w:p w:rsidR="00CB537B" w:rsidRDefault="00CB537B" w:rsidP="00CB537B">
            <w:pPr>
              <w:jc w:val="left"/>
              <w:rPr>
                <w:rFonts w:eastAsia="Calibri"/>
                <w:sz w:val="18"/>
                <w:szCs w:val="18"/>
              </w:rPr>
            </w:pPr>
          </w:p>
          <w:p w:rsidR="00CB537B" w:rsidRPr="00702034" w:rsidRDefault="00CB537B" w:rsidP="00CB537B">
            <w:pPr>
              <w:jc w:val="left"/>
              <w:rPr>
                <w:rFonts w:eastAsia="Calibri"/>
                <w:sz w:val="18"/>
                <w:szCs w:val="18"/>
              </w:rPr>
            </w:pPr>
            <w:r>
              <w:rPr>
                <w:rFonts w:eastAsia="Calibri"/>
                <w:sz w:val="18"/>
                <w:szCs w:val="18"/>
              </w:rPr>
              <w:t>Generación de programas y proyectos desde el nivel local hacia los niveles sub-nacional y nacional</w:t>
            </w:r>
          </w:p>
        </w:tc>
        <w:tc>
          <w:tcPr>
            <w:tcW w:w="2430" w:type="dxa"/>
            <w:shd w:val="clear" w:color="auto" w:fill="auto"/>
            <w:noWrap/>
            <w:vAlign w:val="center"/>
          </w:tcPr>
          <w:p w:rsidR="00CB537B" w:rsidRDefault="00CB537B" w:rsidP="00CB537B">
            <w:pPr>
              <w:ind w:left="117" w:hanging="117"/>
              <w:jc w:val="left"/>
              <w:rPr>
                <w:rFonts w:eastAsia="Calibri"/>
                <w:sz w:val="18"/>
                <w:szCs w:val="18"/>
              </w:rPr>
            </w:pPr>
            <w:r>
              <w:rPr>
                <w:rFonts w:eastAsia="Calibri"/>
                <w:sz w:val="18"/>
                <w:szCs w:val="18"/>
              </w:rPr>
              <w:t>Municipalidades</w:t>
            </w:r>
          </w:p>
          <w:p w:rsidR="00CB537B" w:rsidRDefault="00CB537B" w:rsidP="00CB537B">
            <w:pPr>
              <w:ind w:left="117" w:hanging="117"/>
              <w:jc w:val="left"/>
              <w:rPr>
                <w:rFonts w:eastAsia="Calibri"/>
                <w:sz w:val="18"/>
                <w:szCs w:val="18"/>
              </w:rPr>
            </w:pPr>
            <w:r>
              <w:rPr>
                <w:rFonts w:eastAsia="Calibri"/>
                <w:sz w:val="18"/>
                <w:szCs w:val="18"/>
              </w:rPr>
              <w:t>Autoridades locales</w:t>
            </w:r>
          </w:p>
          <w:p w:rsidR="00CB537B" w:rsidRPr="00702034" w:rsidRDefault="00CB537B" w:rsidP="00CB537B">
            <w:pPr>
              <w:ind w:left="117" w:hanging="117"/>
              <w:jc w:val="left"/>
              <w:rPr>
                <w:rFonts w:eastAsia="Calibri"/>
                <w:sz w:val="18"/>
                <w:szCs w:val="18"/>
              </w:rPr>
            </w:pPr>
            <w:r>
              <w:rPr>
                <w:rFonts w:eastAsia="Calibri"/>
                <w:sz w:val="18"/>
                <w:szCs w:val="18"/>
              </w:rPr>
              <w:t>Sociedad civil y organizaciones comunitarias</w:t>
            </w:r>
          </w:p>
        </w:tc>
        <w:tc>
          <w:tcPr>
            <w:tcW w:w="2550" w:type="dxa"/>
            <w:shd w:val="clear" w:color="auto" w:fill="auto"/>
            <w:noWrap/>
          </w:tcPr>
          <w:p w:rsidR="00CB537B" w:rsidRPr="00702034" w:rsidRDefault="00CB537B" w:rsidP="00CB537B">
            <w:pPr>
              <w:jc w:val="left"/>
              <w:rPr>
                <w:rFonts w:eastAsia="Calibri"/>
                <w:sz w:val="18"/>
                <w:szCs w:val="18"/>
              </w:rPr>
            </w:pPr>
            <w:r>
              <w:rPr>
                <w:rFonts w:eastAsia="Calibri"/>
                <w:sz w:val="18"/>
                <w:szCs w:val="18"/>
              </w:rPr>
              <w:t xml:space="preserve">Implementación de la iniciativa de hospitales seguros, escuelas seguras y ciudades </w:t>
            </w:r>
            <w:proofErr w:type="spellStart"/>
            <w:r>
              <w:rPr>
                <w:rFonts w:eastAsia="Calibri"/>
                <w:sz w:val="18"/>
                <w:szCs w:val="18"/>
              </w:rPr>
              <w:t>resilientes</w:t>
            </w:r>
            <w:proofErr w:type="spellEnd"/>
            <w:r>
              <w:rPr>
                <w:rFonts w:eastAsia="Calibri"/>
                <w:sz w:val="18"/>
                <w:szCs w:val="18"/>
              </w:rPr>
              <w:t xml:space="preserve"> a nivel local </w:t>
            </w:r>
          </w:p>
        </w:tc>
      </w:tr>
    </w:tbl>
    <w:p w:rsidR="00CB537B" w:rsidRPr="00702034" w:rsidRDefault="00CB537B" w:rsidP="00CB537B">
      <w:pPr>
        <w:rPr>
          <w:rFonts w:eastAsia="Calibri"/>
          <w:lang w:val="es-PA"/>
        </w:rPr>
      </w:pPr>
    </w:p>
    <w:sectPr w:rsidR="00CB537B" w:rsidRPr="00702034" w:rsidSect="00FF6607">
      <w:pgSz w:w="16838" w:h="11906" w:orient="landscape" w:code="9"/>
      <w:pgMar w:top="1699" w:right="1411" w:bottom="1699" w:left="1411" w:header="706" w:footer="706" w:gutter="0"/>
      <w:pgBorders w:offsetFrom="page">
        <w:top w:val="dotted" w:sz="4" w:space="24" w:color="365F91" w:themeColor="accent1" w:themeShade="BF"/>
        <w:left w:val="dotted" w:sz="4" w:space="24" w:color="365F91" w:themeColor="accent1" w:themeShade="BF"/>
        <w:bottom w:val="dotted" w:sz="4" w:space="24" w:color="365F91" w:themeColor="accent1" w:themeShade="BF"/>
        <w:right w:val="dotted" w:sz="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AAA" w:rsidRDefault="00746AAA" w:rsidP="00457FE3">
      <w:r>
        <w:separator/>
      </w:r>
    </w:p>
  </w:endnote>
  <w:endnote w:type="continuationSeparator" w:id="0">
    <w:p w:rsidR="00746AAA" w:rsidRDefault="00746AAA" w:rsidP="00457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79963"/>
      <w:docPartObj>
        <w:docPartGallery w:val="Page Numbers (Bottom of Page)"/>
        <w:docPartUnique/>
      </w:docPartObj>
    </w:sdtPr>
    <w:sdtContent>
      <w:p w:rsidR="00D84D9F" w:rsidRDefault="00C806AB">
        <w:pPr>
          <w:pStyle w:val="Footer"/>
        </w:pPr>
        <w:r w:rsidRPr="00C806AB">
          <w:rPr>
            <w:noProof/>
            <w:lang w:eastAsia="zh-TW"/>
          </w:rPr>
          <w:pict>
            <v:group id="_x0000_s2049" style="position:absolute;left:0;text-align:left;margin-left:-137.2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D84D9F" w:rsidRDefault="00C806AB">
                      <w:pPr>
                        <w:pStyle w:val="Footer"/>
                        <w:jc w:val="center"/>
                        <w:rPr>
                          <w:sz w:val="16"/>
                          <w:szCs w:val="16"/>
                        </w:rPr>
                      </w:pPr>
                      <w:fldSimple w:instr=" PAGE    \* MERGEFORMAT ">
                        <w:r w:rsidR="003E65AB" w:rsidRPr="003E65AB">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AAA" w:rsidRDefault="00746AAA" w:rsidP="00457FE3">
      <w:r>
        <w:separator/>
      </w:r>
    </w:p>
  </w:footnote>
  <w:footnote w:type="continuationSeparator" w:id="0">
    <w:p w:rsidR="00746AAA" w:rsidRDefault="00746AAA" w:rsidP="0045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9F" w:rsidRDefault="00D84D9F" w:rsidP="00CB537B">
    <w:pPr>
      <w:pStyle w:val="Header"/>
      <w:ind w:left="-142"/>
      <w:jc w:val="center"/>
    </w:pPr>
    <w:r w:rsidRPr="00457FE3">
      <w:rPr>
        <w:noProof/>
        <w:lang w:val="en-US"/>
      </w:rPr>
      <w:drawing>
        <wp:inline distT="0" distB="0" distL="0" distR="0">
          <wp:extent cx="5092777" cy="947450"/>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22531" name="Picture 7"/>
                  <pic:cNvPicPr>
                    <a:picLocks noChangeAspect="1" noChangeArrowheads="1"/>
                  </pic:cNvPicPr>
                </pic:nvPicPr>
                <pic:blipFill>
                  <a:blip r:embed="rId1"/>
                  <a:srcRect/>
                  <a:stretch>
                    <a:fillRect/>
                  </a:stretch>
                </pic:blipFill>
                <pic:spPr bwMode="auto">
                  <a:xfrm>
                    <a:off x="0" y="0"/>
                    <a:ext cx="5109909" cy="95063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DB"/>
    <w:multiLevelType w:val="hybridMultilevel"/>
    <w:tmpl w:val="FC02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97F2C"/>
    <w:multiLevelType w:val="hybridMultilevel"/>
    <w:tmpl w:val="29AE6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AC3E97"/>
    <w:multiLevelType w:val="multilevel"/>
    <w:tmpl w:val="EC8EB0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92333B"/>
    <w:multiLevelType w:val="hybridMultilevel"/>
    <w:tmpl w:val="36A0EBE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978665D"/>
    <w:multiLevelType w:val="hybridMultilevel"/>
    <w:tmpl w:val="5E42A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301651"/>
    <w:multiLevelType w:val="hybridMultilevel"/>
    <w:tmpl w:val="C66E12E2"/>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6D706E"/>
    <w:multiLevelType w:val="hybridMultilevel"/>
    <w:tmpl w:val="25DE32BE"/>
    <w:lvl w:ilvl="0" w:tplc="33E660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F95767"/>
    <w:multiLevelType w:val="multilevel"/>
    <w:tmpl w:val="86087E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0F2249C"/>
    <w:multiLevelType w:val="hybridMultilevel"/>
    <w:tmpl w:val="49EE9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B803D0"/>
    <w:multiLevelType w:val="hybridMultilevel"/>
    <w:tmpl w:val="EC52AECC"/>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98272C"/>
    <w:multiLevelType w:val="hybridMultilevel"/>
    <w:tmpl w:val="0536620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3A01CEB"/>
    <w:multiLevelType w:val="hybridMultilevel"/>
    <w:tmpl w:val="27AE8218"/>
    <w:lvl w:ilvl="0" w:tplc="BB42514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B66C8D"/>
    <w:multiLevelType w:val="hybridMultilevel"/>
    <w:tmpl w:val="7AA0C12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8C52F3"/>
    <w:multiLevelType w:val="hybridMultilevel"/>
    <w:tmpl w:val="D1A083D4"/>
    <w:lvl w:ilvl="0" w:tplc="BB425140">
      <w:start w:val="1"/>
      <w:numFmt w:val="bullet"/>
      <w:lvlText w:val=""/>
      <w:lvlJc w:val="left"/>
      <w:pPr>
        <w:tabs>
          <w:tab w:val="num" w:pos="720"/>
        </w:tabs>
        <w:ind w:left="720" w:hanging="360"/>
      </w:pPr>
      <w:rPr>
        <w:rFonts w:ascii="Wingdings" w:hAnsi="Wingdings" w:hint="default"/>
      </w:rPr>
    </w:lvl>
    <w:lvl w:ilvl="1" w:tplc="9C003BF8" w:tentative="1">
      <w:start w:val="1"/>
      <w:numFmt w:val="bullet"/>
      <w:lvlText w:val=""/>
      <w:lvlJc w:val="left"/>
      <w:pPr>
        <w:tabs>
          <w:tab w:val="num" w:pos="1440"/>
        </w:tabs>
        <w:ind w:left="1440" w:hanging="360"/>
      </w:pPr>
      <w:rPr>
        <w:rFonts w:ascii="Wingdings" w:hAnsi="Wingdings" w:hint="default"/>
      </w:rPr>
    </w:lvl>
    <w:lvl w:ilvl="2" w:tplc="F59ADADC" w:tentative="1">
      <w:start w:val="1"/>
      <w:numFmt w:val="bullet"/>
      <w:lvlText w:val=""/>
      <w:lvlJc w:val="left"/>
      <w:pPr>
        <w:tabs>
          <w:tab w:val="num" w:pos="2160"/>
        </w:tabs>
        <w:ind w:left="2160" w:hanging="360"/>
      </w:pPr>
      <w:rPr>
        <w:rFonts w:ascii="Wingdings" w:hAnsi="Wingdings" w:hint="default"/>
      </w:rPr>
    </w:lvl>
    <w:lvl w:ilvl="3" w:tplc="C0A88834" w:tentative="1">
      <w:start w:val="1"/>
      <w:numFmt w:val="bullet"/>
      <w:lvlText w:val=""/>
      <w:lvlJc w:val="left"/>
      <w:pPr>
        <w:tabs>
          <w:tab w:val="num" w:pos="2880"/>
        </w:tabs>
        <w:ind w:left="2880" w:hanging="360"/>
      </w:pPr>
      <w:rPr>
        <w:rFonts w:ascii="Wingdings" w:hAnsi="Wingdings" w:hint="default"/>
      </w:rPr>
    </w:lvl>
    <w:lvl w:ilvl="4" w:tplc="B5F65558" w:tentative="1">
      <w:start w:val="1"/>
      <w:numFmt w:val="bullet"/>
      <w:lvlText w:val=""/>
      <w:lvlJc w:val="left"/>
      <w:pPr>
        <w:tabs>
          <w:tab w:val="num" w:pos="3600"/>
        </w:tabs>
        <w:ind w:left="3600" w:hanging="360"/>
      </w:pPr>
      <w:rPr>
        <w:rFonts w:ascii="Wingdings" w:hAnsi="Wingdings" w:hint="default"/>
      </w:rPr>
    </w:lvl>
    <w:lvl w:ilvl="5" w:tplc="86F6070A" w:tentative="1">
      <w:start w:val="1"/>
      <w:numFmt w:val="bullet"/>
      <w:lvlText w:val=""/>
      <w:lvlJc w:val="left"/>
      <w:pPr>
        <w:tabs>
          <w:tab w:val="num" w:pos="4320"/>
        </w:tabs>
        <w:ind w:left="4320" w:hanging="360"/>
      </w:pPr>
      <w:rPr>
        <w:rFonts w:ascii="Wingdings" w:hAnsi="Wingdings" w:hint="default"/>
      </w:rPr>
    </w:lvl>
    <w:lvl w:ilvl="6" w:tplc="529EE4E6" w:tentative="1">
      <w:start w:val="1"/>
      <w:numFmt w:val="bullet"/>
      <w:lvlText w:val=""/>
      <w:lvlJc w:val="left"/>
      <w:pPr>
        <w:tabs>
          <w:tab w:val="num" w:pos="5040"/>
        </w:tabs>
        <w:ind w:left="5040" w:hanging="360"/>
      </w:pPr>
      <w:rPr>
        <w:rFonts w:ascii="Wingdings" w:hAnsi="Wingdings" w:hint="default"/>
      </w:rPr>
    </w:lvl>
    <w:lvl w:ilvl="7" w:tplc="032C2B66" w:tentative="1">
      <w:start w:val="1"/>
      <w:numFmt w:val="bullet"/>
      <w:lvlText w:val=""/>
      <w:lvlJc w:val="left"/>
      <w:pPr>
        <w:tabs>
          <w:tab w:val="num" w:pos="5760"/>
        </w:tabs>
        <w:ind w:left="5760" w:hanging="360"/>
      </w:pPr>
      <w:rPr>
        <w:rFonts w:ascii="Wingdings" w:hAnsi="Wingdings" w:hint="default"/>
      </w:rPr>
    </w:lvl>
    <w:lvl w:ilvl="8" w:tplc="39725062" w:tentative="1">
      <w:start w:val="1"/>
      <w:numFmt w:val="bullet"/>
      <w:lvlText w:val=""/>
      <w:lvlJc w:val="left"/>
      <w:pPr>
        <w:tabs>
          <w:tab w:val="num" w:pos="6480"/>
        </w:tabs>
        <w:ind w:left="6480" w:hanging="360"/>
      </w:pPr>
      <w:rPr>
        <w:rFonts w:ascii="Wingdings" w:hAnsi="Wingdings" w:hint="default"/>
      </w:rPr>
    </w:lvl>
  </w:abstractNum>
  <w:abstractNum w:abstractNumId="14">
    <w:nsid w:val="4A352975"/>
    <w:multiLevelType w:val="hybridMultilevel"/>
    <w:tmpl w:val="4C364AD2"/>
    <w:lvl w:ilvl="0" w:tplc="E8EE7362">
      <w:start w:val="1"/>
      <w:numFmt w:val="upperRoman"/>
      <w:lvlText w:val="%1."/>
      <w:lvlJc w:val="right"/>
      <w:pPr>
        <w:ind w:left="720" w:hanging="360"/>
      </w:pPr>
      <w:rPr>
        <w:b/>
        <w:sz w:val="24"/>
        <w:szCs w:val="24"/>
      </w:rPr>
    </w:lvl>
    <w:lvl w:ilvl="1" w:tplc="C4CE8C30">
      <w:start w:val="1"/>
      <w:numFmt w:val="decimal"/>
      <w:lvlText w:val="%2."/>
      <w:lvlJc w:val="left"/>
      <w:pPr>
        <w:ind w:left="1440" w:hanging="36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4AAC5F97"/>
    <w:multiLevelType w:val="hybridMultilevel"/>
    <w:tmpl w:val="4B383178"/>
    <w:lvl w:ilvl="0" w:tplc="373439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143C98"/>
    <w:multiLevelType w:val="hybridMultilevel"/>
    <w:tmpl w:val="8766C800"/>
    <w:lvl w:ilvl="0" w:tplc="0C0A0001">
      <w:start w:val="1"/>
      <w:numFmt w:val="bullet"/>
      <w:lvlText w:val=""/>
      <w:lvlJc w:val="left"/>
      <w:pPr>
        <w:ind w:left="866" w:hanging="360"/>
      </w:pPr>
      <w:rPr>
        <w:rFonts w:ascii="Symbol" w:hAnsi="Symbol" w:hint="default"/>
      </w:rPr>
    </w:lvl>
    <w:lvl w:ilvl="1" w:tplc="0C0A0003" w:tentative="1">
      <w:start w:val="1"/>
      <w:numFmt w:val="bullet"/>
      <w:lvlText w:val="o"/>
      <w:lvlJc w:val="left"/>
      <w:pPr>
        <w:ind w:left="1586" w:hanging="360"/>
      </w:pPr>
      <w:rPr>
        <w:rFonts w:ascii="Courier New" w:hAnsi="Courier New" w:cs="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cs="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cs="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17">
    <w:nsid w:val="4F1633BE"/>
    <w:multiLevelType w:val="hybridMultilevel"/>
    <w:tmpl w:val="875EA118"/>
    <w:lvl w:ilvl="0" w:tplc="2A5A3D9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5C421076"/>
    <w:multiLevelType w:val="hybridMultilevel"/>
    <w:tmpl w:val="55367D44"/>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8E57D7"/>
    <w:multiLevelType w:val="hybridMultilevel"/>
    <w:tmpl w:val="1458BC6E"/>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3BD05A6"/>
    <w:multiLevelType w:val="hybridMultilevel"/>
    <w:tmpl w:val="E53E3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74F1C69"/>
    <w:multiLevelType w:val="hybridMultilevel"/>
    <w:tmpl w:val="423A2BAC"/>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131317A"/>
    <w:multiLevelType w:val="hybridMultilevel"/>
    <w:tmpl w:val="927E911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13D060A"/>
    <w:multiLevelType w:val="hybridMultilevel"/>
    <w:tmpl w:val="B8E8391A"/>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736712CB"/>
    <w:multiLevelType w:val="hybridMultilevel"/>
    <w:tmpl w:val="D97C21CC"/>
    <w:lvl w:ilvl="0" w:tplc="440E5E82">
      <w:start w:val="1"/>
      <w:numFmt w:val="bullet"/>
      <w:lvlText w:val=""/>
      <w:lvlJc w:val="left"/>
      <w:pPr>
        <w:tabs>
          <w:tab w:val="num" w:pos="5040"/>
        </w:tabs>
        <w:ind w:left="504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4"/>
  </w:num>
  <w:num w:numId="4">
    <w:abstractNumId w:val="15"/>
  </w:num>
  <w:num w:numId="5">
    <w:abstractNumId w:val="14"/>
  </w:num>
  <w:num w:numId="6">
    <w:abstractNumId w:val="7"/>
  </w:num>
  <w:num w:numId="7">
    <w:abstractNumId w:val="18"/>
  </w:num>
  <w:num w:numId="8">
    <w:abstractNumId w:val="5"/>
  </w:num>
  <w:num w:numId="9">
    <w:abstractNumId w:val="21"/>
  </w:num>
  <w:num w:numId="10">
    <w:abstractNumId w:val="23"/>
  </w:num>
  <w:num w:numId="11">
    <w:abstractNumId w:val="3"/>
  </w:num>
  <w:num w:numId="12">
    <w:abstractNumId w:val="10"/>
  </w:num>
  <w:num w:numId="13">
    <w:abstractNumId w:val="17"/>
  </w:num>
  <w:num w:numId="14">
    <w:abstractNumId w:val="22"/>
  </w:num>
  <w:num w:numId="15">
    <w:abstractNumId w:val="19"/>
  </w:num>
  <w:num w:numId="16">
    <w:abstractNumId w:val="12"/>
  </w:num>
  <w:num w:numId="17">
    <w:abstractNumId w:val="24"/>
  </w:num>
  <w:num w:numId="18">
    <w:abstractNumId w:val="6"/>
  </w:num>
  <w:num w:numId="19">
    <w:abstractNumId w:val="16"/>
  </w:num>
  <w:num w:numId="20">
    <w:abstractNumId w:val="20"/>
  </w:num>
  <w:num w:numId="21">
    <w:abstractNumId w:val="8"/>
  </w:num>
  <w:num w:numId="22">
    <w:abstractNumId w:val="2"/>
  </w:num>
  <w:num w:numId="23">
    <w:abstractNumId w:val="9"/>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08"/>
  <w:hyphenationZone w:val="425"/>
  <w:characterSpacingControl w:val="doNotCompress"/>
  <w:hdrShapeDefaults>
    <o:shapedefaults v:ext="edit" spidmax="2053"/>
    <o:shapelayout v:ext="edit">
      <o:idmap v:ext="edit" data="2"/>
      <o:rules v:ext="edit">
        <o:r id="V:Rule2" type="connector" idref="#_x0000_s2050"/>
      </o:rules>
    </o:shapelayout>
  </w:hdrShapeDefaults>
  <w:footnotePr>
    <w:footnote w:id="-1"/>
    <w:footnote w:id="0"/>
  </w:footnotePr>
  <w:endnotePr>
    <w:endnote w:id="-1"/>
    <w:endnote w:id="0"/>
  </w:endnotePr>
  <w:compat/>
  <w:rsids>
    <w:rsidRoot w:val="003B17BF"/>
    <w:rsid w:val="0000006D"/>
    <w:rsid w:val="00022A4D"/>
    <w:rsid w:val="00050BEC"/>
    <w:rsid w:val="0005164F"/>
    <w:rsid w:val="0007386D"/>
    <w:rsid w:val="00094908"/>
    <w:rsid w:val="000A4165"/>
    <w:rsid w:val="000D0A6C"/>
    <w:rsid w:val="000D717F"/>
    <w:rsid w:val="000F54BB"/>
    <w:rsid w:val="000F5BC5"/>
    <w:rsid w:val="000F5DB1"/>
    <w:rsid w:val="00100A0A"/>
    <w:rsid w:val="00126A70"/>
    <w:rsid w:val="00131230"/>
    <w:rsid w:val="00175A0E"/>
    <w:rsid w:val="00180F18"/>
    <w:rsid w:val="00195F43"/>
    <w:rsid w:val="001B53CC"/>
    <w:rsid w:val="001C0B18"/>
    <w:rsid w:val="001C4F7C"/>
    <w:rsid w:val="0020015D"/>
    <w:rsid w:val="0022141C"/>
    <w:rsid w:val="0027119A"/>
    <w:rsid w:val="002711EC"/>
    <w:rsid w:val="00275BC2"/>
    <w:rsid w:val="00275E5A"/>
    <w:rsid w:val="002F6429"/>
    <w:rsid w:val="0030024D"/>
    <w:rsid w:val="003005CD"/>
    <w:rsid w:val="00334B87"/>
    <w:rsid w:val="00354AD9"/>
    <w:rsid w:val="003613E3"/>
    <w:rsid w:val="00373A43"/>
    <w:rsid w:val="00384043"/>
    <w:rsid w:val="003B17BF"/>
    <w:rsid w:val="003C0A42"/>
    <w:rsid w:val="003D1B92"/>
    <w:rsid w:val="003E3FC0"/>
    <w:rsid w:val="003E65AB"/>
    <w:rsid w:val="003E77EE"/>
    <w:rsid w:val="004332FE"/>
    <w:rsid w:val="00434447"/>
    <w:rsid w:val="00437C89"/>
    <w:rsid w:val="00450A50"/>
    <w:rsid w:val="004525C2"/>
    <w:rsid w:val="00457FE3"/>
    <w:rsid w:val="00487BC4"/>
    <w:rsid w:val="004A0EFA"/>
    <w:rsid w:val="004A68EF"/>
    <w:rsid w:val="004D2448"/>
    <w:rsid w:val="004F6694"/>
    <w:rsid w:val="00500B70"/>
    <w:rsid w:val="00527B22"/>
    <w:rsid w:val="00533210"/>
    <w:rsid w:val="00540AAC"/>
    <w:rsid w:val="00541D04"/>
    <w:rsid w:val="0055744D"/>
    <w:rsid w:val="00562DA1"/>
    <w:rsid w:val="005922E6"/>
    <w:rsid w:val="005B7CEA"/>
    <w:rsid w:val="005C2F23"/>
    <w:rsid w:val="005D37DD"/>
    <w:rsid w:val="00633F83"/>
    <w:rsid w:val="006429AF"/>
    <w:rsid w:val="00651CFD"/>
    <w:rsid w:val="00661108"/>
    <w:rsid w:val="00682775"/>
    <w:rsid w:val="006A37E5"/>
    <w:rsid w:val="006B0CA4"/>
    <w:rsid w:val="006D3566"/>
    <w:rsid w:val="006E6628"/>
    <w:rsid w:val="00712277"/>
    <w:rsid w:val="00722D96"/>
    <w:rsid w:val="00733158"/>
    <w:rsid w:val="00746AAA"/>
    <w:rsid w:val="00765988"/>
    <w:rsid w:val="00774BAB"/>
    <w:rsid w:val="0077665A"/>
    <w:rsid w:val="00790B69"/>
    <w:rsid w:val="00794DFC"/>
    <w:rsid w:val="007B4CEE"/>
    <w:rsid w:val="008264C8"/>
    <w:rsid w:val="00827681"/>
    <w:rsid w:val="008648A3"/>
    <w:rsid w:val="00871115"/>
    <w:rsid w:val="008859C1"/>
    <w:rsid w:val="008A07C2"/>
    <w:rsid w:val="009255F8"/>
    <w:rsid w:val="00962B28"/>
    <w:rsid w:val="00990F80"/>
    <w:rsid w:val="009C4B78"/>
    <w:rsid w:val="009C651B"/>
    <w:rsid w:val="009D3026"/>
    <w:rsid w:val="009D73B1"/>
    <w:rsid w:val="00A14AB8"/>
    <w:rsid w:val="00A1773B"/>
    <w:rsid w:val="00A33FF5"/>
    <w:rsid w:val="00A567F4"/>
    <w:rsid w:val="00A6046B"/>
    <w:rsid w:val="00A62BF0"/>
    <w:rsid w:val="00A705FF"/>
    <w:rsid w:val="00A97AEC"/>
    <w:rsid w:val="00AA0CB0"/>
    <w:rsid w:val="00AB07B0"/>
    <w:rsid w:val="00AB401C"/>
    <w:rsid w:val="00AC75AE"/>
    <w:rsid w:val="00AD27D3"/>
    <w:rsid w:val="00AD5024"/>
    <w:rsid w:val="00AE4730"/>
    <w:rsid w:val="00B05BCF"/>
    <w:rsid w:val="00B227FE"/>
    <w:rsid w:val="00B4434B"/>
    <w:rsid w:val="00B95A8D"/>
    <w:rsid w:val="00BB6D03"/>
    <w:rsid w:val="00BB74C7"/>
    <w:rsid w:val="00BD4344"/>
    <w:rsid w:val="00BE221D"/>
    <w:rsid w:val="00BE6EDB"/>
    <w:rsid w:val="00C47646"/>
    <w:rsid w:val="00C62A7E"/>
    <w:rsid w:val="00C63042"/>
    <w:rsid w:val="00C73E3B"/>
    <w:rsid w:val="00C806AB"/>
    <w:rsid w:val="00C857C8"/>
    <w:rsid w:val="00CB537B"/>
    <w:rsid w:val="00CB54A0"/>
    <w:rsid w:val="00CC42F9"/>
    <w:rsid w:val="00D00CE5"/>
    <w:rsid w:val="00D15EC1"/>
    <w:rsid w:val="00D2275E"/>
    <w:rsid w:val="00D25C11"/>
    <w:rsid w:val="00D77E05"/>
    <w:rsid w:val="00D84D9F"/>
    <w:rsid w:val="00D929E3"/>
    <w:rsid w:val="00D92C42"/>
    <w:rsid w:val="00DA1B87"/>
    <w:rsid w:val="00DB3E1D"/>
    <w:rsid w:val="00DE1CF0"/>
    <w:rsid w:val="00E22452"/>
    <w:rsid w:val="00E35F4F"/>
    <w:rsid w:val="00E42C19"/>
    <w:rsid w:val="00E5515F"/>
    <w:rsid w:val="00E902FF"/>
    <w:rsid w:val="00E94F4D"/>
    <w:rsid w:val="00ED0C00"/>
    <w:rsid w:val="00EF51D6"/>
    <w:rsid w:val="00F149CE"/>
    <w:rsid w:val="00F2485B"/>
    <w:rsid w:val="00F35459"/>
    <w:rsid w:val="00FD3A09"/>
    <w:rsid w:val="00FD41B8"/>
    <w:rsid w:val="00FE5841"/>
    <w:rsid w:val="00FF6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ahoma"/>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E5"/>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7FE3"/>
    <w:rPr>
      <w:color w:val="0000FF" w:themeColor="hyperlink"/>
      <w:u w:val="single"/>
    </w:rPr>
  </w:style>
  <w:style w:type="paragraph" w:styleId="Header">
    <w:name w:val="header"/>
    <w:basedOn w:val="Normal"/>
    <w:link w:val="HeaderChar"/>
    <w:uiPriority w:val="99"/>
    <w:semiHidden/>
    <w:unhideWhenUsed/>
    <w:rsid w:val="00457FE3"/>
    <w:pPr>
      <w:tabs>
        <w:tab w:val="center" w:pos="4252"/>
        <w:tab w:val="right" w:pos="8504"/>
      </w:tabs>
    </w:pPr>
  </w:style>
  <w:style w:type="character" w:customStyle="1" w:styleId="HeaderChar">
    <w:name w:val="Header Char"/>
    <w:basedOn w:val="DefaultParagraphFont"/>
    <w:link w:val="Header"/>
    <w:uiPriority w:val="99"/>
    <w:semiHidden/>
    <w:rsid w:val="00457FE3"/>
    <w:rPr>
      <w:rFonts w:ascii="Tahoma" w:hAnsi="Tahoma"/>
    </w:rPr>
  </w:style>
  <w:style w:type="paragraph" w:styleId="Footer">
    <w:name w:val="footer"/>
    <w:basedOn w:val="Normal"/>
    <w:link w:val="FooterChar"/>
    <w:uiPriority w:val="99"/>
    <w:unhideWhenUsed/>
    <w:rsid w:val="00457FE3"/>
    <w:pPr>
      <w:tabs>
        <w:tab w:val="center" w:pos="4252"/>
        <w:tab w:val="right" w:pos="8504"/>
      </w:tabs>
    </w:pPr>
  </w:style>
  <w:style w:type="character" w:customStyle="1" w:styleId="FooterChar">
    <w:name w:val="Footer Char"/>
    <w:basedOn w:val="DefaultParagraphFont"/>
    <w:link w:val="Footer"/>
    <w:uiPriority w:val="99"/>
    <w:rsid w:val="00457FE3"/>
    <w:rPr>
      <w:rFonts w:ascii="Tahoma" w:hAnsi="Tahoma"/>
    </w:rPr>
  </w:style>
  <w:style w:type="paragraph" w:styleId="BalloonText">
    <w:name w:val="Balloon Text"/>
    <w:basedOn w:val="Normal"/>
    <w:link w:val="BalloonTextChar"/>
    <w:uiPriority w:val="99"/>
    <w:semiHidden/>
    <w:unhideWhenUsed/>
    <w:rsid w:val="00457FE3"/>
    <w:rPr>
      <w:sz w:val="16"/>
      <w:szCs w:val="16"/>
    </w:rPr>
  </w:style>
  <w:style w:type="character" w:customStyle="1" w:styleId="BalloonTextChar">
    <w:name w:val="Balloon Text Char"/>
    <w:basedOn w:val="DefaultParagraphFont"/>
    <w:link w:val="BalloonText"/>
    <w:uiPriority w:val="99"/>
    <w:semiHidden/>
    <w:rsid w:val="00457FE3"/>
    <w:rPr>
      <w:rFonts w:ascii="Tahoma" w:hAnsi="Tahoma"/>
      <w:sz w:val="16"/>
      <w:szCs w:val="16"/>
    </w:rPr>
  </w:style>
  <w:style w:type="paragraph" w:styleId="ListParagraph">
    <w:name w:val="List Paragraph"/>
    <w:basedOn w:val="Normal"/>
    <w:uiPriority w:val="34"/>
    <w:qFormat/>
    <w:rsid w:val="002F6429"/>
    <w:pPr>
      <w:ind w:left="720"/>
      <w:contextualSpacing/>
    </w:pPr>
  </w:style>
  <w:style w:type="character" w:styleId="Emphasis">
    <w:name w:val="Emphasis"/>
    <w:basedOn w:val="DefaultParagraphFont"/>
    <w:uiPriority w:val="20"/>
    <w:qFormat/>
    <w:rsid w:val="00FE5841"/>
    <w:rPr>
      <w:i/>
      <w:iCs/>
    </w:rPr>
  </w:style>
  <w:style w:type="paragraph" w:styleId="NormalWeb">
    <w:name w:val="Normal (Web)"/>
    <w:basedOn w:val="Normal"/>
    <w:uiPriority w:val="99"/>
    <w:unhideWhenUsed/>
    <w:rsid w:val="00BE6EDB"/>
    <w:pPr>
      <w:spacing w:before="100" w:beforeAutospacing="1" w:after="100" w:afterAutospacing="1"/>
      <w:jc w:val="left"/>
    </w:pPr>
    <w:rPr>
      <w:rFonts w:ascii="Times New Roman" w:eastAsia="Times New Roman" w:hAnsi="Times New Roman" w:cs="Times New Roman"/>
      <w:sz w:val="24"/>
      <w:szCs w:val="24"/>
      <w:lang w:val="es-PA" w:eastAsia="es-PA"/>
    </w:rPr>
  </w:style>
  <w:style w:type="character" w:customStyle="1" w:styleId="longtext">
    <w:name w:val="long_text"/>
    <w:basedOn w:val="DefaultParagraphFont"/>
    <w:rsid w:val="000F54BB"/>
  </w:style>
  <w:style w:type="character" w:styleId="Strong">
    <w:name w:val="Strong"/>
    <w:basedOn w:val="DefaultParagraphFont"/>
    <w:uiPriority w:val="99"/>
    <w:qFormat/>
    <w:rsid w:val="004A68EF"/>
    <w:rPr>
      <w:rFonts w:cs="Times New Roman"/>
      <w:b/>
      <w:bCs/>
    </w:rPr>
  </w:style>
</w:styles>
</file>

<file path=word/webSettings.xml><?xml version="1.0" encoding="utf-8"?>
<w:webSettings xmlns:r="http://schemas.openxmlformats.org/officeDocument/2006/relationships" xmlns:w="http://schemas.openxmlformats.org/wordprocessingml/2006/main">
  <w:divs>
    <w:div w:id="107630273">
      <w:bodyDiv w:val="1"/>
      <w:marLeft w:val="0"/>
      <w:marRight w:val="0"/>
      <w:marTop w:val="0"/>
      <w:marBottom w:val="0"/>
      <w:divBdr>
        <w:top w:val="none" w:sz="0" w:space="0" w:color="auto"/>
        <w:left w:val="none" w:sz="0" w:space="0" w:color="auto"/>
        <w:bottom w:val="none" w:sz="0" w:space="0" w:color="auto"/>
        <w:right w:val="none" w:sz="0" w:space="0" w:color="auto"/>
      </w:divBdr>
    </w:div>
    <w:div w:id="241187861">
      <w:bodyDiv w:val="1"/>
      <w:marLeft w:val="0"/>
      <w:marRight w:val="0"/>
      <w:marTop w:val="0"/>
      <w:marBottom w:val="0"/>
      <w:divBdr>
        <w:top w:val="none" w:sz="0" w:space="0" w:color="auto"/>
        <w:left w:val="none" w:sz="0" w:space="0" w:color="auto"/>
        <w:bottom w:val="none" w:sz="0" w:space="0" w:color="auto"/>
        <w:right w:val="none" w:sz="0" w:space="0" w:color="auto"/>
      </w:divBdr>
    </w:div>
    <w:div w:id="555318885">
      <w:bodyDiv w:val="1"/>
      <w:marLeft w:val="0"/>
      <w:marRight w:val="0"/>
      <w:marTop w:val="0"/>
      <w:marBottom w:val="0"/>
      <w:divBdr>
        <w:top w:val="none" w:sz="0" w:space="0" w:color="auto"/>
        <w:left w:val="none" w:sz="0" w:space="0" w:color="auto"/>
        <w:bottom w:val="none" w:sz="0" w:space="0" w:color="auto"/>
        <w:right w:val="none" w:sz="0" w:space="0" w:color="auto"/>
      </w:divBdr>
    </w:div>
    <w:div w:id="556207280">
      <w:bodyDiv w:val="1"/>
      <w:marLeft w:val="0"/>
      <w:marRight w:val="0"/>
      <w:marTop w:val="0"/>
      <w:marBottom w:val="0"/>
      <w:divBdr>
        <w:top w:val="none" w:sz="0" w:space="0" w:color="auto"/>
        <w:left w:val="none" w:sz="0" w:space="0" w:color="auto"/>
        <w:bottom w:val="none" w:sz="0" w:space="0" w:color="auto"/>
        <w:right w:val="none" w:sz="0" w:space="0" w:color="auto"/>
      </w:divBdr>
    </w:div>
    <w:div w:id="604777175">
      <w:bodyDiv w:val="1"/>
      <w:marLeft w:val="0"/>
      <w:marRight w:val="0"/>
      <w:marTop w:val="0"/>
      <w:marBottom w:val="0"/>
      <w:divBdr>
        <w:top w:val="none" w:sz="0" w:space="0" w:color="auto"/>
        <w:left w:val="none" w:sz="0" w:space="0" w:color="auto"/>
        <w:bottom w:val="none" w:sz="0" w:space="0" w:color="auto"/>
        <w:right w:val="none" w:sz="0" w:space="0" w:color="auto"/>
      </w:divBdr>
    </w:div>
    <w:div w:id="694620169">
      <w:bodyDiv w:val="1"/>
      <w:marLeft w:val="0"/>
      <w:marRight w:val="0"/>
      <w:marTop w:val="0"/>
      <w:marBottom w:val="0"/>
      <w:divBdr>
        <w:top w:val="none" w:sz="0" w:space="0" w:color="auto"/>
        <w:left w:val="none" w:sz="0" w:space="0" w:color="auto"/>
        <w:bottom w:val="none" w:sz="0" w:space="0" w:color="auto"/>
        <w:right w:val="none" w:sz="0" w:space="0" w:color="auto"/>
      </w:divBdr>
      <w:divsChild>
        <w:div w:id="1850292623">
          <w:marLeft w:val="0"/>
          <w:marRight w:val="0"/>
          <w:marTop w:val="0"/>
          <w:marBottom w:val="0"/>
          <w:divBdr>
            <w:top w:val="none" w:sz="0" w:space="0" w:color="auto"/>
            <w:left w:val="none" w:sz="0" w:space="0" w:color="auto"/>
            <w:bottom w:val="none" w:sz="0" w:space="0" w:color="auto"/>
            <w:right w:val="none" w:sz="0" w:space="0" w:color="auto"/>
          </w:divBdr>
          <w:divsChild>
            <w:div w:id="6691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526">
      <w:bodyDiv w:val="1"/>
      <w:marLeft w:val="0"/>
      <w:marRight w:val="0"/>
      <w:marTop w:val="0"/>
      <w:marBottom w:val="0"/>
      <w:divBdr>
        <w:top w:val="none" w:sz="0" w:space="0" w:color="auto"/>
        <w:left w:val="none" w:sz="0" w:space="0" w:color="auto"/>
        <w:bottom w:val="none" w:sz="0" w:space="0" w:color="auto"/>
        <w:right w:val="none" w:sz="0" w:space="0" w:color="auto"/>
      </w:divBdr>
      <w:divsChild>
        <w:div w:id="356471862">
          <w:marLeft w:val="0"/>
          <w:marRight w:val="0"/>
          <w:marTop w:val="0"/>
          <w:marBottom w:val="0"/>
          <w:divBdr>
            <w:top w:val="none" w:sz="0" w:space="0" w:color="auto"/>
            <w:left w:val="none" w:sz="0" w:space="0" w:color="auto"/>
            <w:bottom w:val="none" w:sz="0" w:space="0" w:color="auto"/>
            <w:right w:val="none" w:sz="0" w:space="0" w:color="auto"/>
          </w:divBdr>
          <w:divsChild>
            <w:div w:id="6203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692">
      <w:bodyDiv w:val="1"/>
      <w:marLeft w:val="0"/>
      <w:marRight w:val="0"/>
      <w:marTop w:val="0"/>
      <w:marBottom w:val="0"/>
      <w:divBdr>
        <w:top w:val="none" w:sz="0" w:space="0" w:color="auto"/>
        <w:left w:val="none" w:sz="0" w:space="0" w:color="auto"/>
        <w:bottom w:val="none" w:sz="0" w:space="0" w:color="auto"/>
        <w:right w:val="none" w:sz="0" w:space="0" w:color="auto"/>
      </w:divBdr>
    </w:div>
    <w:div w:id="1109663900">
      <w:bodyDiv w:val="1"/>
      <w:marLeft w:val="0"/>
      <w:marRight w:val="0"/>
      <w:marTop w:val="0"/>
      <w:marBottom w:val="0"/>
      <w:divBdr>
        <w:top w:val="none" w:sz="0" w:space="0" w:color="auto"/>
        <w:left w:val="none" w:sz="0" w:space="0" w:color="auto"/>
        <w:bottom w:val="none" w:sz="0" w:space="0" w:color="auto"/>
        <w:right w:val="none" w:sz="0" w:space="0" w:color="auto"/>
      </w:divBdr>
    </w:div>
    <w:div w:id="1621186414">
      <w:bodyDiv w:val="1"/>
      <w:marLeft w:val="0"/>
      <w:marRight w:val="0"/>
      <w:marTop w:val="0"/>
      <w:marBottom w:val="0"/>
      <w:divBdr>
        <w:top w:val="none" w:sz="0" w:space="0" w:color="auto"/>
        <w:left w:val="none" w:sz="0" w:space="0" w:color="auto"/>
        <w:bottom w:val="none" w:sz="0" w:space="0" w:color="auto"/>
        <w:right w:val="none" w:sz="0" w:space="0" w:color="auto"/>
      </w:divBdr>
    </w:div>
    <w:div w:id="1712805662">
      <w:bodyDiv w:val="1"/>
      <w:marLeft w:val="0"/>
      <w:marRight w:val="0"/>
      <w:marTop w:val="0"/>
      <w:marBottom w:val="0"/>
      <w:divBdr>
        <w:top w:val="none" w:sz="0" w:space="0" w:color="auto"/>
        <w:left w:val="none" w:sz="0" w:space="0" w:color="auto"/>
        <w:bottom w:val="none" w:sz="0" w:space="0" w:color="auto"/>
        <w:right w:val="none" w:sz="0" w:space="0" w:color="auto"/>
      </w:divBdr>
    </w:div>
    <w:div w:id="20556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7952</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II Reunion Plataforma Regional de RRD - México</vt:lpstr>
      <vt:lpstr/>
    </vt:vector>
  </TitlesOfParts>
  <Company>Pan American Health Organization</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Reunion Plataforma Regional de RRD - México</dc:title>
  <dc:creator>Dr. Ciro Ugarte</dc:creator>
  <cp:lastModifiedBy>Dr. Ciro Ugarte</cp:lastModifiedBy>
  <cp:revision>2</cp:revision>
  <dcterms:created xsi:type="dcterms:W3CDTF">2011-03-17T22:31:00Z</dcterms:created>
  <dcterms:modified xsi:type="dcterms:W3CDTF">2011-03-17T22:31:00Z</dcterms:modified>
</cp:coreProperties>
</file>