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04E2" w:rsidRPr="00E304E2" w:rsidRDefault="00E304E2" w:rsidP="003366CD">
      <w:pPr>
        <w:pStyle w:val="Heading1"/>
        <w:keepNext w:val="0"/>
        <w:keepLines w:val="0"/>
        <w:spacing w:before="0" w:after="0"/>
        <w:rPr>
          <w:rFonts w:asciiTheme="majorHAnsi" w:hAnsiTheme="majorHAnsi"/>
          <w:i/>
          <w:color w:val="auto"/>
          <w:sz w:val="48"/>
          <w:szCs w:val="40"/>
          <w:bdr w:val="nil"/>
          <w:lang w:val="fr-CA"/>
        </w:rPr>
      </w:pPr>
      <w:bookmarkStart w:id="0" w:name="_GoBack"/>
      <w:bookmarkEnd w:id="0"/>
    </w:p>
    <w:p w:rsidR="00E304E2" w:rsidRPr="00E304E2" w:rsidRDefault="00E304E2" w:rsidP="003366CD">
      <w:pPr>
        <w:pStyle w:val="Heading1"/>
        <w:keepNext w:val="0"/>
        <w:keepLines w:val="0"/>
        <w:spacing w:before="0" w:after="0"/>
        <w:rPr>
          <w:rFonts w:asciiTheme="majorHAnsi" w:hAnsiTheme="majorHAnsi"/>
          <w:i/>
          <w:color w:val="auto"/>
          <w:sz w:val="48"/>
          <w:szCs w:val="40"/>
          <w:bdr w:val="nil"/>
          <w:lang w:val="fr-CA"/>
        </w:rPr>
      </w:pPr>
    </w:p>
    <w:p w:rsidR="00E304E2" w:rsidRPr="00E304E2" w:rsidRDefault="00E304E2" w:rsidP="003366CD">
      <w:pPr>
        <w:pStyle w:val="Heading1"/>
        <w:keepNext w:val="0"/>
        <w:keepLines w:val="0"/>
        <w:spacing w:before="0" w:after="0"/>
        <w:rPr>
          <w:rFonts w:asciiTheme="majorHAnsi" w:hAnsiTheme="majorHAnsi"/>
          <w:i/>
          <w:color w:val="auto"/>
          <w:sz w:val="48"/>
          <w:szCs w:val="40"/>
          <w:bdr w:val="nil"/>
          <w:lang w:val="fr-CA"/>
        </w:rPr>
      </w:pPr>
    </w:p>
    <w:p w:rsidR="003B3784" w:rsidRPr="00E304E2" w:rsidRDefault="001C372C" w:rsidP="00E304E2">
      <w:pPr>
        <w:pStyle w:val="Heading1"/>
        <w:keepNext w:val="0"/>
        <w:keepLines w:val="0"/>
        <w:spacing w:before="0" w:after="0"/>
        <w:jc w:val="center"/>
        <w:rPr>
          <w:rFonts w:asciiTheme="majorHAnsi" w:hAnsiTheme="majorHAnsi"/>
          <w:color w:val="auto"/>
          <w:sz w:val="32"/>
          <w:szCs w:val="32"/>
          <w:lang w:val="fr-CA"/>
        </w:rPr>
      </w:pPr>
      <w:r w:rsidRPr="00E304E2">
        <w:rPr>
          <w:rFonts w:asciiTheme="majorHAnsi" w:hAnsiTheme="majorHAnsi"/>
          <w:i/>
          <w:color w:val="auto"/>
          <w:sz w:val="32"/>
          <w:szCs w:val="32"/>
          <w:bdr w:val="nil"/>
          <w:lang w:val="fr-CA"/>
        </w:rPr>
        <w:t>Plan d’action régional pour la mise en œuvre du</w:t>
      </w:r>
      <w:bookmarkStart w:id="1" w:name="_e4qctc7be0cu"/>
      <w:bookmarkEnd w:id="1"/>
      <w:r w:rsidR="003366CD" w:rsidRPr="00E304E2">
        <w:rPr>
          <w:rFonts w:asciiTheme="majorHAnsi" w:hAnsiTheme="majorHAnsi"/>
          <w:color w:val="auto"/>
          <w:sz w:val="32"/>
          <w:szCs w:val="32"/>
          <w:lang w:val="fr-CA"/>
        </w:rPr>
        <w:t xml:space="preserve"> </w:t>
      </w:r>
      <w:r w:rsidR="003366CD" w:rsidRPr="00E304E2">
        <w:rPr>
          <w:rFonts w:asciiTheme="majorHAnsi" w:hAnsiTheme="majorHAnsi"/>
          <w:color w:val="auto"/>
          <w:sz w:val="32"/>
          <w:szCs w:val="32"/>
          <w:lang w:val="fr-CA"/>
        </w:rPr>
        <w:br/>
      </w:r>
      <w:r w:rsidRPr="00E304E2">
        <w:rPr>
          <w:rFonts w:asciiTheme="majorHAnsi" w:hAnsiTheme="majorHAnsi"/>
          <w:i/>
          <w:color w:val="auto"/>
          <w:sz w:val="32"/>
          <w:szCs w:val="32"/>
          <w:bdr w:val="nil"/>
          <w:lang w:val="fr-CA"/>
        </w:rPr>
        <w:t>Ca</w:t>
      </w:r>
      <w:r w:rsidR="00B57ADB" w:rsidRPr="00E304E2">
        <w:rPr>
          <w:rFonts w:asciiTheme="majorHAnsi" w:hAnsiTheme="majorHAnsi"/>
          <w:i/>
          <w:color w:val="auto"/>
          <w:sz w:val="32"/>
          <w:szCs w:val="32"/>
          <w:bdr w:val="nil"/>
          <w:lang w:val="fr-CA"/>
        </w:rPr>
        <w:t>dre d’action de Sendai pour la r</w:t>
      </w:r>
      <w:r w:rsidRPr="00E304E2">
        <w:rPr>
          <w:rFonts w:asciiTheme="majorHAnsi" w:hAnsiTheme="majorHAnsi"/>
          <w:i/>
          <w:color w:val="auto"/>
          <w:sz w:val="32"/>
          <w:szCs w:val="32"/>
          <w:bdr w:val="nil"/>
          <w:lang w:val="fr-CA"/>
        </w:rPr>
        <w:t>éduc</w:t>
      </w:r>
      <w:r w:rsidR="00B57ADB" w:rsidRPr="00E304E2">
        <w:rPr>
          <w:rFonts w:asciiTheme="majorHAnsi" w:hAnsiTheme="majorHAnsi"/>
          <w:i/>
          <w:color w:val="auto"/>
          <w:sz w:val="32"/>
          <w:szCs w:val="32"/>
          <w:bdr w:val="nil"/>
          <w:lang w:val="fr-CA"/>
        </w:rPr>
        <w:t>tion des risques de catastrophe</w:t>
      </w:r>
      <w:r w:rsidR="003366CD" w:rsidRPr="00E304E2">
        <w:rPr>
          <w:rFonts w:asciiTheme="majorHAnsi" w:hAnsiTheme="majorHAnsi"/>
          <w:i/>
          <w:color w:val="auto"/>
          <w:sz w:val="32"/>
          <w:szCs w:val="32"/>
          <w:bdr w:val="nil"/>
          <w:lang w:val="fr-CA"/>
        </w:rPr>
        <w:t> </w:t>
      </w:r>
      <w:r w:rsidRPr="00E304E2">
        <w:rPr>
          <w:rFonts w:asciiTheme="majorHAnsi" w:hAnsiTheme="majorHAnsi"/>
          <w:i/>
          <w:color w:val="auto"/>
          <w:sz w:val="32"/>
          <w:szCs w:val="32"/>
          <w:bdr w:val="nil"/>
          <w:lang w:val="fr-CA"/>
        </w:rPr>
        <w:t>2015 – 2030 dans les Amériques</w:t>
      </w:r>
    </w:p>
    <w:p w:rsidR="00C53C32" w:rsidRPr="00E304E2" w:rsidRDefault="001C372C" w:rsidP="00C53C32">
      <w:pPr>
        <w:pStyle w:val="Heading2"/>
        <w:keepNext w:val="0"/>
        <w:keepLines w:val="0"/>
        <w:spacing w:before="360" w:after="80"/>
        <w:rPr>
          <w:rFonts w:asciiTheme="majorHAnsi" w:eastAsia="Calibri" w:hAnsiTheme="majorHAnsi" w:cs="Calibri"/>
          <w:i/>
          <w:color w:val="auto"/>
          <w:sz w:val="40"/>
          <w:szCs w:val="34"/>
          <w:lang w:val="fr-CA"/>
        </w:rPr>
      </w:pPr>
      <w:bookmarkStart w:id="2" w:name="_wcdq0msjkxtb"/>
      <w:bookmarkStart w:id="3" w:name="_epb4l4qc8c67"/>
      <w:bookmarkEnd w:id="2"/>
      <w:bookmarkEnd w:id="3"/>
      <w:r w:rsidRPr="00E304E2">
        <w:rPr>
          <w:rFonts w:asciiTheme="majorHAnsi" w:hAnsiTheme="majorHAnsi"/>
          <w:i/>
          <w:color w:val="auto"/>
          <w:sz w:val="40"/>
          <w:szCs w:val="32"/>
          <w:bdr w:val="nil"/>
          <w:lang w:val="fr-CA"/>
        </w:rPr>
        <w:t>Introduction</w:t>
      </w:r>
    </w:p>
    <w:p w:rsidR="00C53C32" w:rsidRPr="00E304E2" w:rsidRDefault="001C372C" w:rsidP="00C53C32">
      <w:pPr>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Le présent plan d’action régional (PAR) constitue le document de base non juridiquement contraignant qui définit des pratiques et des processus en vue de faire progresser la mise en œuvre du Cadre d’action de Sendai pour la réduction des risques de catastrophe</w:t>
      </w:r>
      <w:r w:rsidR="00C116A5">
        <w:rPr>
          <w:rFonts w:asciiTheme="majorHAnsi" w:eastAsia="Cambria" w:hAnsiTheme="majorHAnsi" w:cs="Cambria"/>
          <w:color w:val="auto"/>
          <w:sz w:val="24"/>
          <w:szCs w:val="20"/>
          <w:bdr w:val="nil"/>
          <w:lang w:val="fr-CA"/>
        </w:rPr>
        <w:t xml:space="preserve"> (RRC) </w:t>
      </w:r>
      <w:r w:rsidRPr="00E304E2">
        <w:rPr>
          <w:rFonts w:asciiTheme="majorHAnsi" w:eastAsia="Cambria" w:hAnsiTheme="majorHAnsi" w:cs="Cambria"/>
          <w:color w:val="auto"/>
          <w:sz w:val="24"/>
          <w:szCs w:val="20"/>
          <w:bdr w:val="nil"/>
          <w:lang w:val="fr-CA"/>
        </w:rPr>
        <w:t xml:space="preserve">2015 – 2030 dans les Amériques. Il s’agit de l’un des jalons de l’adoption d’une approche régionale concertée pour soutenir les pays dans leurs travaux visant à renforcer la résilience communautaire et à atténuer les risques de catastrophes et leurs répercussions. Le PAR contribue à faire avancer la mise en œuvre du Cadre d’action de Sendai dans les Amériques en identifiant les initiatives régionales qui contribuent à une ou à plusieurs des mesures de Sendai. Cette approche aide ainsi les États membres à tirer parti des principes directeurs convenus dans le Cadre, en particulier ceux qui visent à promouvoir une approche englobant toute la société qui correspond aux groupes et aux intervenants mentionnés dans le Cadre, et à harmoniser, d’une part, les cadres de RRC, d’adaptation aux changements climatiques et de développement durable, et d’autre part, les mesures régionales mises de l’avant dans les lignes directrices pour les </w:t>
      </w:r>
      <w:r w:rsidR="003366CD" w:rsidRPr="00E304E2">
        <w:rPr>
          <w:rFonts w:asciiTheme="majorHAnsi" w:eastAsia="Cambria" w:hAnsiTheme="majorHAnsi" w:cs="Cambria"/>
          <w:color w:val="auto"/>
          <w:sz w:val="24"/>
          <w:szCs w:val="20"/>
          <w:bdr w:val="nil"/>
          <w:lang w:val="fr-CA"/>
        </w:rPr>
        <w:t>plans d’action régionaux</w:t>
      </w:r>
      <w:r w:rsidRPr="00E304E2">
        <w:rPr>
          <w:rFonts w:asciiTheme="majorHAnsi" w:eastAsia="Cambria" w:hAnsiTheme="majorHAnsi" w:cs="Cambria"/>
          <w:color w:val="auto"/>
          <w:sz w:val="24"/>
          <w:szCs w:val="20"/>
          <w:bdr w:val="nil"/>
          <w:lang w:val="fr-CA"/>
        </w:rPr>
        <w:t xml:space="preserve"> visant la mise en œuvre du Cadre d’action de Sendai pour 2015</w:t>
      </w:r>
      <w:r w:rsidR="003366CD" w:rsidRPr="00E304E2">
        <w:rPr>
          <w:rFonts w:asciiTheme="majorHAnsi" w:eastAsia="Cambria" w:hAnsiTheme="majorHAnsi" w:cs="Cambria"/>
          <w:color w:val="auto"/>
          <w:sz w:val="24"/>
          <w:szCs w:val="20"/>
          <w:bdr w:val="nil"/>
          <w:lang w:val="fr-CA"/>
        </w:rPr>
        <w:t xml:space="preserve"> – 2</w:t>
      </w:r>
      <w:r w:rsidRPr="00E304E2">
        <w:rPr>
          <w:rFonts w:asciiTheme="majorHAnsi" w:eastAsia="Cambria" w:hAnsiTheme="majorHAnsi" w:cs="Cambria"/>
          <w:color w:val="auto"/>
          <w:sz w:val="24"/>
          <w:szCs w:val="20"/>
          <w:bdr w:val="nil"/>
          <w:lang w:val="fr-CA"/>
        </w:rPr>
        <w:t>030. Ces lignes directrices ont été adoptées à la première réunion des ministres et des responsables de haut niveau sur la mise en œuvre du Cadre d’action de Sendai pour la réduction des risques de catastrophe dans les Amériques, qui a été organisée par le gouvernement du Paraguay le 9 juin 2016.</w:t>
      </w:r>
    </w:p>
    <w:p w:rsidR="00C53C32" w:rsidRPr="00E304E2" w:rsidRDefault="001C372C" w:rsidP="00516995">
      <w:pPr>
        <w:rPr>
          <w:rFonts w:asciiTheme="majorHAnsi" w:hAnsiTheme="majorHAnsi"/>
          <w:color w:val="auto"/>
          <w:sz w:val="24"/>
          <w:szCs w:val="20"/>
          <w:lang w:val="fr-CA"/>
        </w:rPr>
      </w:pPr>
      <w:bookmarkStart w:id="4" w:name="_xzzknhzbw4o3"/>
      <w:bookmarkEnd w:id="4"/>
      <w:r w:rsidRPr="00E304E2">
        <w:rPr>
          <w:rFonts w:asciiTheme="majorHAnsi" w:eastAsia="Cambria" w:hAnsiTheme="majorHAnsi" w:cs="Cambria"/>
          <w:color w:val="auto"/>
          <w:sz w:val="24"/>
          <w:szCs w:val="20"/>
          <w:bdr w:val="nil"/>
          <w:lang w:val="fr-CA"/>
        </w:rPr>
        <w:t xml:space="preserve">Les initiatives du PAR </w:t>
      </w:r>
      <w:r w:rsidR="005E54F0">
        <w:rPr>
          <w:rFonts w:asciiTheme="majorHAnsi" w:eastAsia="Cambria" w:hAnsiTheme="majorHAnsi" w:cs="Cambria"/>
          <w:color w:val="auto"/>
          <w:sz w:val="24"/>
          <w:szCs w:val="20"/>
          <w:bdr w:val="nil"/>
          <w:lang w:val="fr-CA"/>
        </w:rPr>
        <w:t>actuel</w:t>
      </w:r>
      <w:r w:rsidR="005E54F0" w:rsidRPr="00E304E2">
        <w:rPr>
          <w:rFonts w:asciiTheme="majorHAnsi" w:eastAsia="Cambria" w:hAnsiTheme="majorHAnsi" w:cs="Cambria"/>
          <w:color w:val="auto"/>
          <w:sz w:val="24"/>
          <w:szCs w:val="20"/>
          <w:bdr w:val="nil"/>
          <w:lang w:val="fr-CA"/>
        </w:rPr>
        <w:t xml:space="preserve"> </w:t>
      </w:r>
      <w:r w:rsidRPr="00E304E2">
        <w:rPr>
          <w:rFonts w:asciiTheme="majorHAnsi" w:eastAsia="Cambria" w:hAnsiTheme="majorHAnsi" w:cs="Cambria"/>
          <w:color w:val="auto"/>
          <w:sz w:val="24"/>
          <w:szCs w:val="20"/>
          <w:bdr w:val="nil"/>
          <w:lang w:val="fr-CA"/>
        </w:rPr>
        <w:t>sont des initiatives que les organisations de la société civile, les bénévoles et d’autres acteurs des États membres et les organismes peuvent vouloir faire progresser collectivement. Au cours des 14 à 18 prochains mois, les États intéressés travailleront ensemble pour établir et faire avancer les travaux qui permettront de mener à bien les initiatives régionales. Afin d</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assurer l’uniformité à l’échelle de la région, le présent plan d’action est aussi censé servir de guide pour l’élaboration d’autres plans d</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 xml:space="preserve">action </w:t>
      </w:r>
      <w:r w:rsidRPr="00E304E2">
        <w:rPr>
          <w:rFonts w:asciiTheme="majorHAnsi" w:eastAsia="Cambria" w:hAnsiTheme="majorHAnsi" w:cs="Cambria"/>
          <w:color w:val="auto"/>
          <w:sz w:val="24"/>
          <w:szCs w:val="20"/>
          <w:bdr w:val="nil"/>
          <w:lang w:val="fr-CA"/>
        </w:rPr>
        <w:lastRenderedPageBreak/>
        <w:t>régionaux. Il encourage les acteurs intéressés à devenir partenaires responsables ou partenaires en soutien et prévoit certains éléments des mécanismes de suivi appropriés.</w:t>
      </w:r>
    </w:p>
    <w:p w:rsidR="009D643C" w:rsidRPr="00E304E2" w:rsidRDefault="001C372C" w:rsidP="009D643C">
      <w:pPr>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 xml:space="preserve">Ce plan d’action respecte l’approche englobant toute la société, approche qui occupe une place importante dans le Cadre d’action de Sendai. Selon leurs priorités et leurs mandats respectifs, les acteurs concernés continueront de participer tout au long du processus, en tenant compte des besoins, des capacités et des contextes qui leur sont propres. Nous reconnaissons le rôle de premier plan des États membres dans la RRC tout en reconnaissant la contribution des intervenants. </w:t>
      </w:r>
    </w:p>
    <w:p w:rsidR="001F619E" w:rsidRPr="00E304E2" w:rsidRDefault="001C372C" w:rsidP="00454118">
      <w:pPr>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Afin de promouvoir la mise en œuvre de ce plan d</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action, les États membres intéressés et les intervenants pourraient élaborer des activités qui correspondent à leurs priorités et mandats respectifs et qui sont basées sur les initiatives énumérées ci-dessous. Par ailleurs, ils doivent rendre compte de l</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 xml:space="preserve">état de leurs activités </w:t>
      </w:r>
      <w:r w:rsidR="00C116A5">
        <w:rPr>
          <w:rFonts w:asciiTheme="majorHAnsi" w:eastAsia="Cambria" w:hAnsiTheme="majorHAnsi" w:cs="Cambria"/>
          <w:color w:val="auto"/>
          <w:sz w:val="24"/>
          <w:szCs w:val="20"/>
          <w:bdr w:val="nil"/>
          <w:lang w:val="fr-CA"/>
        </w:rPr>
        <w:t xml:space="preserve">au Bureau des </w:t>
      </w:r>
      <w:r w:rsidRPr="00E304E2">
        <w:rPr>
          <w:rFonts w:asciiTheme="majorHAnsi" w:eastAsia="Cambria" w:hAnsiTheme="majorHAnsi" w:cs="Cambria"/>
          <w:color w:val="auto"/>
          <w:sz w:val="24"/>
          <w:szCs w:val="20"/>
          <w:bdr w:val="nil"/>
          <w:lang w:val="fr-CA"/>
        </w:rPr>
        <w:t>Nations</w:t>
      </w:r>
      <w:r w:rsidR="003366CD" w:rsidRPr="00E304E2">
        <w:rPr>
          <w:rFonts w:asciiTheme="majorHAnsi" w:eastAsia="Cambria" w:hAnsiTheme="majorHAnsi" w:cs="Cambria"/>
          <w:color w:val="auto"/>
          <w:sz w:val="24"/>
          <w:szCs w:val="20"/>
          <w:bdr w:val="nil"/>
          <w:lang w:val="fr-CA"/>
        </w:rPr>
        <w:t xml:space="preserve"> </w:t>
      </w:r>
      <w:r w:rsidRPr="00E304E2">
        <w:rPr>
          <w:rFonts w:asciiTheme="majorHAnsi" w:eastAsia="Cambria" w:hAnsiTheme="majorHAnsi" w:cs="Cambria"/>
          <w:color w:val="auto"/>
          <w:sz w:val="24"/>
          <w:szCs w:val="20"/>
          <w:bdr w:val="nil"/>
          <w:lang w:val="fr-CA"/>
        </w:rPr>
        <w:t>Unies</w:t>
      </w:r>
      <w:r w:rsidR="00C116A5">
        <w:rPr>
          <w:rFonts w:asciiTheme="majorHAnsi" w:eastAsia="Cambria" w:hAnsiTheme="majorHAnsi" w:cs="Cambria"/>
          <w:color w:val="auto"/>
          <w:sz w:val="24"/>
          <w:szCs w:val="20"/>
          <w:bdr w:val="nil"/>
          <w:lang w:val="fr-CA"/>
        </w:rPr>
        <w:t xml:space="preserve"> pour la prévention des risques de catastrophe (UNISDR)</w:t>
      </w:r>
      <w:r w:rsidRPr="00E304E2">
        <w:rPr>
          <w:rFonts w:asciiTheme="majorHAnsi" w:eastAsia="Cambria" w:hAnsiTheme="majorHAnsi" w:cs="Cambria"/>
          <w:color w:val="auto"/>
          <w:sz w:val="24"/>
          <w:szCs w:val="20"/>
          <w:bdr w:val="nil"/>
          <w:lang w:val="fr-CA"/>
        </w:rPr>
        <w:t xml:space="preserve"> et au prochain hôte de la plateforme régionale. Le présent PAR pourrait aussi appuyer la mise en œuvre des mesures de RRC des accords régionaux et </w:t>
      </w:r>
      <w:proofErr w:type="spellStart"/>
      <w:r w:rsidRPr="00E304E2">
        <w:rPr>
          <w:rFonts w:asciiTheme="majorHAnsi" w:eastAsia="Cambria" w:hAnsiTheme="majorHAnsi" w:cs="Cambria"/>
          <w:color w:val="auto"/>
          <w:sz w:val="24"/>
          <w:szCs w:val="20"/>
          <w:bdr w:val="nil"/>
          <w:lang w:val="fr-CA"/>
        </w:rPr>
        <w:t>sous-régionaux</w:t>
      </w:r>
      <w:proofErr w:type="spellEnd"/>
      <w:r w:rsidRPr="00E304E2">
        <w:rPr>
          <w:rFonts w:asciiTheme="majorHAnsi" w:eastAsia="Cambria" w:hAnsiTheme="majorHAnsi" w:cs="Cambria"/>
          <w:color w:val="auto"/>
          <w:sz w:val="24"/>
          <w:szCs w:val="20"/>
          <w:bdr w:val="nil"/>
          <w:lang w:val="fr-CA"/>
        </w:rPr>
        <w:t xml:space="preserve"> existants. Les États membres et les organisations régionales concernées sont invités à faire part de leurs mesures de RRC </w:t>
      </w:r>
      <w:r w:rsidR="005F740E">
        <w:rPr>
          <w:rFonts w:asciiTheme="majorHAnsi" w:eastAsia="Cambria" w:hAnsiTheme="majorHAnsi" w:cs="Cambria"/>
          <w:color w:val="auto"/>
          <w:sz w:val="24"/>
          <w:szCs w:val="20"/>
          <w:bdr w:val="nil"/>
          <w:lang w:val="fr-CA"/>
        </w:rPr>
        <w:t>au UNISDR</w:t>
      </w:r>
      <w:r w:rsidRPr="00E304E2">
        <w:rPr>
          <w:rFonts w:asciiTheme="majorHAnsi" w:eastAsia="Cambria" w:hAnsiTheme="majorHAnsi" w:cs="Cambria"/>
          <w:color w:val="auto"/>
          <w:sz w:val="24"/>
          <w:szCs w:val="20"/>
          <w:bdr w:val="nil"/>
          <w:lang w:val="fr-CA"/>
        </w:rPr>
        <w:t>, ce qui pourrait contribuer à la mise en œuvre du présent PAR, et ce, en vue d’obtenir du soutien et d</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éviter les doubles emplois.</w:t>
      </w:r>
    </w:p>
    <w:p w:rsidR="003B3784" w:rsidRPr="00E304E2" w:rsidRDefault="001C372C" w:rsidP="00C6354A">
      <w:pPr>
        <w:pStyle w:val="Heading2"/>
        <w:keepNext w:val="0"/>
        <w:keepLines w:val="0"/>
        <w:spacing w:before="360" w:after="80"/>
        <w:rPr>
          <w:rFonts w:asciiTheme="majorHAnsi" w:eastAsia="Calibri" w:hAnsiTheme="majorHAnsi" w:cs="Calibri"/>
          <w:i/>
          <w:color w:val="auto"/>
          <w:sz w:val="36"/>
          <w:szCs w:val="34"/>
          <w:lang w:val="fr-CA"/>
        </w:rPr>
      </w:pPr>
      <w:r w:rsidRPr="00E304E2">
        <w:rPr>
          <w:rFonts w:asciiTheme="majorHAnsi" w:hAnsiTheme="majorHAnsi"/>
          <w:i/>
          <w:color w:val="auto"/>
          <w:sz w:val="36"/>
          <w:szCs w:val="28"/>
          <w:bdr w:val="nil"/>
          <w:lang w:val="fr-CA"/>
        </w:rPr>
        <w:t>Priorité un : Comprendre les risques de catastrophes</w:t>
      </w:r>
    </w:p>
    <w:p w:rsidR="003B3784" w:rsidRPr="00E304E2" w:rsidRDefault="001C372C">
      <w:pPr>
        <w:spacing w:after="0"/>
        <w:rPr>
          <w:rFonts w:asciiTheme="majorHAnsi" w:hAnsiTheme="majorHAnsi"/>
          <w:i/>
          <w:color w:val="auto"/>
          <w:sz w:val="24"/>
          <w:szCs w:val="20"/>
          <w:lang w:val="fr-CA"/>
        </w:rPr>
      </w:pPr>
      <w:r w:rsidRPr="00E304E2">
        <w:rPr>
          <w:rFonts w:asciiTheme="majorHAnsi" w:eastAsia="Cambria" w:hAnsiTheme="majorHAnsi" w:cs="Cambria"/>
          <w:i/>
          <w:color w:val="auto"/>
          <w:sz w:val="24"/>
          <w:szCs w:val="20"/>
          <w:bdr w:val="nil"/>
          <w:lang w:val="fr-CA"/>
        </w:rPr>
        <w:t xml:space="preserve">Les politiques et les pratiques de gestion des risques de catastrophes devraient être </w:t>
      </w:r>
      <w:proofErr w:type="gramStart"/>
      <w:r w:rsidRPr="00E304E2">
        <w:rPr>
          <w:rFonts w:asciiTheme="majorHAnsi" w:eastAsia="Cambria" w:hAnsiTheme="majorHAnsi" w:cs="Cambria"/>
          <w:i/>
          <w:color w:val="auto"/>
          <w:sz w:val="24"/>
          <w:szCs w:val="20"/>
          <w:bdr w:val="nil"/>
          <w:lang w:val="fr-CA"/>
        </w:rPr>
        <w:t>fondées</w:t>
      </w:r>
      <w:proofErr w:type="gramEnd"/>
      <w:r w:rsidRPr="00E304E2">
        <w:rPr>
          <w:rFonts w:asciiTheme="majorHAnsi" w:eastAsia="Cambria" w:hAnsiTheme="majorHAnsi" w:cs="Cambria"/>
          <w:i/>
          <w:color w:val="auto"/>
          <w:sz w:val="24"/>
          <w:szCs w:val="20"/>
          <w:bdr w:val="nil"/>
          <w:lang w:val="fr-CA"/>
        </w:rPr>
        <w:t xml:space="preserve"> sur la compréhension des risques de catastrophes dans toutes leurs dimensions</w:t>
      </w:r>
      <w:r w:rsidR="003366CD" w:rsidRPr="00E304E2">
        <w:rPr>
          <w:rFonts w:asciiTheme="majorHAnsi" w:eastAsia="Cambria" w:hAnsiTheme="majorHAnsi" w:cs="Cambria"/>
          <w:i/>
          <w:color w:val="auto"/>
          <w:sz w:val="24"/>
          <w:szCs w:val="20"/>
          <w:bdr w:val="nil"/>
          <w:lang w:val="fr-CA"/>
        </w:rPr>
        <w:t> </w:t>
      </w:r>
      <w:r w:rsidRPr="00E304E2">
        <w:rPr>
          <w:rFonts w:asciiTheme="majorHAnsi" w:eastAsia="Cambria" w:hAnsiTheme="majorHAnsi" w:cs="Cambria"/>
          <w:i/>
          <w:color w:val="auto"/>
          <w:sz w:val="24"/>
          <w:szCs w:val="20"/>
          <w:bdr w:val="nil"/>
          <w:lang w:val="fr-CA"/>
        </w:rPr>
        <w:t>: la vulnérabilité, les capacités et l’exposition des personnes et des biens, les caractéristiques des aléas et l’environnement. Ces connaissances peuvent être exploitées pour procéder à l’évaluation des risques avant la catastrophe, prendre des mesures de prévention et d’atténuation et élaborer et mettre en œuvre des dispositifs appropriés de préparation et d’intervention en cas de catastrophe (paragraphe</w:t>
      </w:r>
      <w:r w:rsidR="003366CD" w:rsidRPr="00E304E2">
        <w:rPr>
          <w:rFonts w:asciiTheme="majorHAnsi" w:eastAsia="Cambria" w:hAnsiTheme="majorHAnsi" w:cs="Cambria"/>
          <w:i/>
          <w:color w:val="auto"/>
          <w:sz w:val="24"/>
          <w:szCs w:val="20"/>
          <w:bdr w:val="nil"/>
          <w:lang w:val="fr-CA"/>
        </w:rPr>
        <w:t> </w:t>
      </w:r>
      <w:r w:rsidRPr="00E304E2">
        <w:rPr>
          <w:rFonts w:asciiTheme="majorHAnsi" w:eastAsia="Cambria" w:hAnsiTheme="majorHAnsi" w:cs="Cambria"/>
          <w:i/>
          <w:color w:val="auto"/>
          <w:sz w:val="24"/>
          <w:szCs w:val="20"/>
          <w:bdr w:val="nil"/>
          <w:lang w:val="fr-CA"/>
        </w:rPr>
        <w:t>23).</w:t>
      </w:r>
    </w:p>
    <w:p w:rsidR="005A31D5" w:rsidRPr="00E304E2" w:rsidRDefault="000979EB">
      <w:pPr>
        <w:spacing w:after="0"/>
        <w:rPr>
          <w:rFonts w:asciiTheme="majorHAnsi" w:hAnsiTheme="majorHAnsi"/>
          <w:color w:val="auto"/>
          <w:sz w:val="24"/>
          <w:szCs w:val="20"/>
          <w:lang w:val="fr-CA"/>
        </w:rPr>
      </w:pPr>
    </w:p>
    <w:tbl>
      <w:tblPr>
        <w:tblStyle w:val="LightGrid-Accent5"/>
        <w:tblW w:w="0" w:type="auto"/>
        <w:tblLook w:val="04A0" w:firstRow="1" w:lastRow="0" w:firstColumn="1" w:lastColumn="0" w:noHBand="0" w:noVBand="1"/>
      </w:tblPr>
      <w:tblGrid>
        <w:gridCol w:w="384"/>
        <w:gridCol w:w="9192"/>
      </w:tblGrid>
      <w:tr w:rsidR="00F84C4D" w:rsidRPr="00E304E2" w:rsidTr="00F84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rsidR="00685B02" w:rsidRPr="00E304E2" w:rsidRDefault="000979EB">
            <w:pPr>
              <w:rPr>
                <w:b w:val="0"/>
                <w:bCs w:val="0"/>
                <w:color w:val="auto"/>
                <w:lang w:val="fr-CA"/>
              </w:rPr>
            </w:pPr>
          </w:p>
        </w:tc>
        <w:tc>
          <w:tcPr>
            <w:tcW w:w="30012" w:type="dxa"/>
            <w:hideMark/>
          </w:tcPr>
          <w:p w:rsidR="00685B02" w:rsidRPr="00E304E2" w:rsidRDefault="001C372C" w:rsidP="00523CE4">
            <w:pPr>
              <w:cnfStyle w:val="100000000000" w:firstRow="1" w:lastRow="0" w:firstColumn="0" w:lastColumn="0" w:oddVBand="0" w:evenVBand="0" w:oddHBand="0" w:evenHBand="0" w:firstRowFirstColumn="0" w:firstRowLastColumn="0" w:lastRowFirstColumn="0" w:lastRowLastColumn="0"/>
              <w:rPr>
                <w:b w:val="0"/>
                <w:bCs w:val="0"/>
                <w:color w:val="auto"/>
              </w:rPr>
            </w:pPr>
            <w:r w:rsidRPr="00E304E2">
              <w:rPr>
                <w:rFonts w:eastAsia="Cambria" w:cs="Cambria"/>
                <w:color w:val="auto"/>
                <w:szCs w:val="18"/>
                <w:bdr w:val="nil"/>
                <w:lang w:val="fr-CA"/>
              </w:rPr>
              <w:t>Initiative régionale</w:t>
            </w:r>
          </w:p>
        </w:tc>
      </w:tr>
      <w:tr w:rsidR="00F84C4D" w:rsidRPr="000979EB" w:rsidTr="00F8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rsidR="00685B02" w:rsidRPr="00E304E2" w:rsidRDefault="001C372C">
            <w:pPr>
              <w:rPr>
                <w:b w:val="0"/>
                <w:bCs w:val="0"/>
                <w:color w:val="auto"/>
              </w:rPr>
            </w:pPr>
            <w:r w:rsidRPr="00E304E2">
              <w:rPr>
                <w:rFonts w:eastAsia="Cambria" w:cs="Cambria"/>
                <w:color w:val="auto"/>
                <w:szCs w:val="18"/>
                <w:bdr w:val="nil"/>
                <w:lang w:val="fr-CA"/>
              </w:rPr>
              <w:t>1</w:t>
            </w:r>
          </w:p>
        </w:tc>
        <w:tc>
          <w:tcPr>
            <w:tcW w:w="30012" w:type="dxa"/>
          </w:tcPr>
          <w:p w:rsidR="00685B02" w:rsidRPr="00E304E2" w:rsidRDefault="001C372C" w:rsidP="00C116A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auto"/>
                <w:sz w:val="24"/>
                <w:szCs w:val="20"/>
                <w:lang w:val="fr-CA"/>
              </w:rPr>
            </w:pPr>
            <w:r w:rsidRPr="00E304E2">
              <w:rPr>
                <w:rFonts w:asciiTheme="majorHAnsi" w:eastAsia="Cambria" w:hAnsiTheme="majorHAnsi" w:cs="Cambria"/>
                <w:color w:val="auto"/>
                <w:sz w:val="24"/>
                <w:szCs w:val="20"/>
                <w:bdr w:val="nil"/>
                <w:lang w:val="fr-CA"/>
              </w:rPr>
              <w:t xml:space="preserve">Renforcer les systèmes d’information sur les risques de catastrophe, par le soutien d’initiatives de systèmes multi-aléas, de schématisation des risques de catastrophes, de savoir traditionnel, </w:t>
            </w:r>
            <w:r w:rsidR="00C116A5">
              <w:rPr>
                <w:rFonts w:asciiTheme="majorHAnsi" w:eastAsia="Cambria" w:hAnsiTheme="majorHAnsi" w:cs="Cambria"/>
                <w:color w:val="auto"/>
                <w:sz w:val="24"/>
                <w:szCs w:val="20"/>
                <w:bdr w:val="nil"/>
                <w:lang w:val="fr-CA"/>
              </w:rPr>
              <w:t xml:space="preserve">et </w:t>
            </w:r>
            <w:r w:rsidRPr="00E304E2">
              <w:rPr>
                <w:rFonts w:asciiTheme="majorHAnsi" w:eastAsia="Cambria" w:hAnsiTheme="majorHAnsi" w:cs="Cambria"/>
                <w:color w:val="auto"/>
                <w:sz w:val="24"/>
                <w:szCs w:val="20"/>
                <w:bdr w:val="nil"/>
                <w:lang w:val="fr-CA"/>
              </w:rPr>
              <w:t xml:space="preserve">de méthodologies pour le calcul des pertes </w:t>
            </w:r>
            <w:r w:rsidR="00B3386F">
              <w:rPr>
                <w:rFonts w:asciiTheme="majorHAnsi" w:eastAsia="Cambria" w:hAnsiTheme="majorHAnsi" w:cs="Cambria"/>
                <w:color w:val="auto"/>
                <w:sz w:val="24"/>
                <w:szCs w:val="20"/>
                <w:bdr w:val="nil"/>
                <w:lang w:val="fr-CA"/>
              </w:rPr>
              <w:t xml:space="preserve">économiques, culturelles et sociales </w:t>
            </w:r>
            <w:r w:rsidRPr="00E304E2">
              <w:rPr>
                <w:rFonts w:asciiTheme="majorHAnsi" w:eastAsia="Cambria" w:hAnsiTheme="majorHAnsi" w:cs="Cambria"/>
                <w:color w:val="auto"/>
                <w:sz w:val="24"/>
                <w:szCs w:val="20"/>
                <w:bdr w:val="nil"/>
                <w:lang w:val="fr-CA"/>
              </w:rPr>
              <w:t>découlant des catastrophes lourdes et majeures.</w:t>
            </w:r>
          </w:p>
        </w:tc>
      </w:tr>
      <w:tr w:rsidR="00F84C4D" w:rsidRPr="000979EB" w:rsidTr="00F84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rsidR="00685B02" w:rsidRPr="00E304E2" w:rsidRDefault="001C372C" w:rsidP="00C2330F">
            <w:pPr>
              <w:rPr>
                <w:b w:val="0"/>
                <w:bCs w:val="0"/>
                <w:color w:val="auto"/>
              </w:rPr>
            </w:pPr>
            <w:r w:rsidRPr="00E304E2">
              <w:rPr>
                <w:rFonts w:eastAsia="Cambria" w:cs="Cambria"/>
                <w:color w:val="auto"/>
                <w:szCs w:val="18"/>
                <w:bdr w:val="nil"/>
                <w:lang w:val="fr-CA"/>
              </w:rPr>
              <w:t>2</w:t>
            </w:r>
          </w:p>
        </w:tc>
        <w:tc>
          <w:tcPr>
            <w:tcW w:w="30012" w:type="dxa"/>
          </w:tcPr>
          <w:p w:rsidR="00685B02" w:rsidRPr="00E304E2" w:rsidRDefault="001C372C" w:rsidP="00414D07">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Renforcer la surveillance et l’enregistrement des risques de catastrophes possibles et actuels, en mettant un accent particulier sur la tenue de registres historiques afin d’éclairer les mesures qui seront prises.</w:t>
            </w:r>
          </w:p>
        </w:tc>
      </w:tr>
      <w:tr w:rsidR="00F84C4D" w:rsidRPr="000979EB" w:rsidTr="00F8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rsidR="00685B02" w:rsidRPr="00E304E2" w:rsidRDefault="001C372C" w:rsidP="00C2330F">
            <w:pPr>
              <w:rPr>
                <w:b w:val="0"/>
                <w:bCs w:val="0"/>
                <w:color w:val="auto"/>
              </w:rPr>
            </w:pPr>
            <w:r w:rsidRPr="00E304E2">
              <w:rPr>
                <w:rFonts w:eastAsia="Cambria" w:cs="Cambria"/>
                <w:color w:val="auto"/>
                <w:szCs w:val="18"/>
                <w:bdr w:val="nil"/>
                <w:lang w:val="fr-CA"/>
              </w:rPr>
              <w:lastRenderedPageBreak/>
              <w:t>3</w:t>
            </w:r>
          </w:p>
        </w:tc>
        <w:tc>
          <w:tcPr>
            <w:tcW w:w="30012" w:type="dxa"/>
          </w:tcPr>
          <w:p w:rsidR="00685B02" w:rsidRPr="00E304E2" w:rsidRDefault="001C372C" w:rsidP="00EE66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Renforcer les systèmes et les mécanismes permettant d’échanger des directives sur l’évaluation des risques de catastrophes, des pratiques exemplaires et des méthodologies entre les régions et les secteurs, ce qui favorise un accès ouvert aux données, le cas échéant.</w:t>
            </w:r>
          </w:p>
        </w:tc>
      </w:tr>
      <w:tr w:rsidR="00F84C4D" w:rsidRPr="000979EB" w:rsidTr="00F84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rsidR="00685B02" w:rsidRPr="00E304E2" w:rsidRDefault="001C372C" w:rsidP="00C2330F">
            <w:pPr>
              <w:rPr>
                <w:b w:val="0"/>
                <w:bCs w:val="0"/>
                <w:color w:val="auto"/>
              </w:rPr>
            </w:pPr>
            <w:r w:rsidRPr="00E304E2">
              <w:rPr>
                <w:rFonts w:eastAsia="Cambria" w:cs="Cambria"/>
                <w:color w:val="auto"/>
                <w:szCs w:val="18"/>
                <w:bdr w:val="nil"/>
                <w:lang w:val="fr-CA"/>
              </w:rPr>
              <w:t>4</w:t>
            </w:r>
          </w:p>
        </w:tc>
        <w:tc>
          <w:tcPr>
            <w:tcW w:w="30012" w:type="dxa"/>
          </w:tcPr>
          <w:p w:rsidR="00685B02" w:rsidRPr="00E304E2" w:rsidRDefault="001C372C" w:rsidP="00C2330F">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Faire la promotion d’études et d’évaluations complètes sur le risque multi-aléas de catastrophe, y compris les projections sur les changements climatiques, et la détermination de priorités de recherche régionales.</w:t>
            </w:r>
          </w:p>
        </w:tc>
      </w:tr>
      <w:tr w:rsidR="00F84C4D" w:rsidRPr="000979EB" w:rsidTr="00F8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rsidR="00685B02" w:rsidRPr="00E304E2" w:rsidRDefault="001C372C" w:rsidP="00C2330F">
            <w:pPr>
              <w:rPr>
                <w:b w:val="0"/>
                <w:bCs w:val="0"/>
                <w:color w:val="auto"/>
              </w:rPr>
            </w:pPr>
            <w:r w:rsidRPr="00E304E2">
              <w:rPr>
                <w:rFonts w:eastAsia="Cambria" w:cs="Cambria"/>
                <w:color w:val="auto"/>
                <w:szCs w:val="18"/>
                <w:bdr w:val="nil"/>
                <w:lang w:val="fr-CA"/>
              </w:rPr>
              <w:t>5</w:t>
            </w:r>
          </w:p>
        </w:tc>
        <w:tc>
          <w:tcPr>
            <w:tcW w:w="30012" w:type="dxa"/>
          </w:tcPr>
          <w:p w:rsidR="00685B02" w:rsidRPr="00E304E2" w:rsidRDefault="001C372C" w:rsidP="00685B0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Promouvoir la mise en œuvre de programmes d</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éducation et l</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utilisation de l</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 xml:space="preserve">information sur les risques de catastrophe, notamment en collaborant avec les médias, au besoin, pour que </w:t>
            </w:r>
            <w:r w:rsidR="003366CD" w:rsidRPr="00E304E2">
              <w:rPr>
                <w:rFonts w:asciiTheme="majorHAnsi" w:eastAsia="Cambria" w:hAnsiTheme="majorHAnsi" w:cs="Cambria"/>
                <w:color w:val="auto"/>
                <w:sz w:val="24"/>
                <w:szCs w:val="20"/>
                <w:bdr w:val="nil"/>
                <w:lang w:val="fr-CA"/>
              </w:rPr>
              <w:t>ces</w:t>
            </w:r>
            <w:r w:rsidRPr="00E304E2">
              <w:rPr>
                <w:rFonts w:asciiTheme="majorHAnsi" w:eastAsia="Cambria" w:hAnsiTheme="majorHAnsi" w:cs="Cambria"/>
                <w:color w:val="auto"/>
                <w:sz w:val="24"/>
                <w:szCs w:val="20"/>
                <w:bdr w:val="nil"/>
                <w:lang w:val="fr-CA"/>
              </w:rPr>
              <w:t xml:space="preserve"> risque</w:t>
            </w:r>
            <w:r w:rsidR="003366CD" w:rsidRPr="00E304E2">
              <w:rPr>
                <w:rFonts w:asciiTheme="majorHAnsi" w:eastAsia="Cambria" w:hAnsiTheme="majorHAnsi" w:cs="Cambria"/>
                <w:color w:val="auto"/>
                <w:sz w:val="24"/>
                <w:szCs w:val="20"/>
                <w:bdr w:val="nil"/>
                <w:lang w:val="fr-CA"/>
              </w:rPr>
              <w:t>s soient c</w:t>
            </w:r>
            <w:r w:rsidRPr="00E304E2">
              <w:rPr>
                <w:rFonts w:asciiTheme="majorHAnsi" w:eastAsia="Cambria" w:hAnsiTheme="majorHAnsi" w:cs="Cambria"/>
                <w:color w:val="auto"/>
                <w:sz w:val="24"/>
                <w:szCs w:val="20"/>
                <w:bdr w:val="nil"/>
                <w:lang w:val="fr-CA"/>
              </w:rPr>
              <w:t xml:space="preserve">ompris à tous les niveaux de la société. </w:t>
            </w:r>
          </w:p>
        </w:tc>
      </w:tr>
      <w:tr w:rsidR="00F84C4D" w:rsidRPr="000979EB" w:rsidTr="00F84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dxa"/>
          </w:tcPr>
          <w:p w:rsidR="00685B02" w:rsidRPr="00E304E2" w:rsidRDefault="001C372C" w:rsidP="00C2330F">
            <w:pPr>
              <w:rPr>
                <w:b w:val="0"/>
                <w:bCs w:val="0"/>
                <w:color w:val="auto"/>
              </w:rPr>
            </w:pPr>
            <w:r w:rsidRPr="00E304E2">
              <w:rPr>
                <w:rFonts w:eastAsia="Cambria" w:cs="Cambria"/>
                <w:color w:val="auto"/>
                <w:szCs w:val="18"/>
                <w:bdr w:val="nil"/>
                <w:lang w:val="fr-CA"/>
              </w:rPr>
              <w:t>6</w:t>
            </w:r>
          </w:p>
        </w:tc>
        <w:tc>
          <w:tcPr>
            <w:tcW w:w="30012" w:type="dxa"/>
          </w:tcPr>
          <w:p w:rsidR="00685B02" w:rsidRPr="00E304E2" w:rsidRDefault="001C372C" w:rsidP="00951ADF">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 xml:space="preserve">Renforcer le dialogue, la coopération et le partage des </w:t>
            </w:r>
            <w:r w:rsidR="003366CD" w:rsidRPr="00E304E2">
              <w:rPr>
                <w:rFonts w:asciiTheme="majorHAnsi" w:eastAsia="Cambria" w:hAnsiTheme="majorHAnsi" w:cs="Cambria"/>
                <w:color w:val="auto"/>
                <w:sz w:val="24"/>
                <w:szCs w:val="20"/>
                <w:bdr w:val="nil"/>
                <w:lang w:val="fr-CA"/>
              </w:rPr>
              <w:t>connaissances</w:t>
            </w:r>
            <w:r w:rsidRPr="00E304E2">
              <w:rPr>
                <w:rFonts w:asciiTheme="majorHAnsi" w:eastAsia="Cambria" w:hAnsiTheme="majorHAnsi" w:cs="Cambria"/>
                <w:color w:val="auto"/>
                <w:sz w:val="24"/>
                <w:szCs w:val="20"/>
                <w:bdr w:val="nil"/>
                <w:lang w:val="fr-CA"/>
              </w:rPr>
              <w:t xml:space="preserve"> sur la réduction et la gestion du risque de catastrophe entre les décideurs, les entités de planification, les communautés scientifiques, universitaires et technologiques, les organisations de la société civile, les bénévoles et d’autres acteurs pertinents, en conformité avec leurs mandats respectifs.</w:t>
            </w:r>
          </w:p>
        </w:tc>
      </w:tr>
    </w:tbl>
    <w:p w:rsidR="003B3784" w:rsidRPr="00E304E2" w:rsidRDefault="001C372C">
      <w:pPr>
        <w:pStyle w:val="Heading2"/>
        <w:keepNext w:val="0"/>
        <w:keepLines w:val="0"/>
        <w:spacing w:before="360" w:after="80"/>
        <w:rPr>
          <w:rFonts w:asciiTheme="majorHAnsi" w:eastAsia="Calibri" w:hAnsiTheme="majorHAnsi" w:cs="Calibri"/>
          <w:i/>
          <w:color w:val="auto"/>
          <w:sz w:val="36"/>
          <w:szCs w:val="34"/>
          <w:lang w:val="fr-CA"/>
        </w:rPr>
      </w:pPr>
      <w:bookmarkStart w:id="5" w:name="_7tf9rqw98nrg" w:colFirst="0" w:colLast="0"/>
      <w:bookmarkEnd w:id="5"/>
      <w:r w:rsidRPr="00E304E2">
        <w:rPr>
          <w:rFonts w:asciiTheme="majorHAnsi" w:hAnsiTheme="majorHAnsi"/>
          <w:i/>
          <w:color w:val="auto"/>
          <w:sz w:val="36"/>
          <w:szCs w:val="28"/>
          <w:bdr w:val="nil"/>
          <w:lang w:val="fr-CA"/>
        </w:rPr>
        <w:t>Priorité deux : Renforcer la gouvernance des risques de catastrophes pour mieux les gérer</w:t>
      </w:r>
    </w:p>
    <w:p w:rsidR="003B3784" w:rsidRPr="00E304E2" w:rsidRDefault="001C372C">
      <w:pPr>
        <w:spacing w:after="0"/>
        <w:rPr>
          <w:rFonts w:asciiTheme="majorHAnsi" w:hAnsiTheme="majorHAnsi"/>
          <w:i/>
          <w:color w:val="auto"/>
          <w:sz w:val="28"/>
          <w:lang w:val="fr-CA"/>
        </w:rPr>
      </w:pPr>
      <w:r w:rsidRPr="00E304E2">
        <w:rPr>
          <w:rFonts w:asciiTheme="majorHAnsi" w:eastAsia="Cambria" w:hAnsiTheme="majorHAnsi" w:cs="Cambria"/>
          <w:i/>
          <w:color w:val="auto"/>
          <w:sz w:val="24"/>
          <w:szCs w:val="20"/>
          <w:bdr w:val="nil"/>
          <w:lang w:val="fr-CA"/>
        </w:rPr>
        <w:t>La gouvernance des risques de catastrophes, aux niveaux national, régional et mondial, revêt la plus grande importance pour l’efficacité et l’efficience de la gestion desdits risques. Elle suppose d’avoir une vision claire des choses, des plans, des compétences et des orientations, de coordonner l’action de tous les secteurs et d’un secteur à l’autre, et de faire participer toutes les parties prenantes. Il est donc nécessaire de renforcer la gouvernance des risques de catastrophe aux fins de la prévention, de l’atténuation, de la préparation, des interventions, du relèvement et de la remise en état. Un tel renforcement favorise la collaboration et les partenariats entre mécanismes et institutions, l’objectif étant la mise en œuvre d’instruments utiles à la réduction des risques de catastrophe et au développement durable (paragraphe</w:t>
      </w:r>
      <w:r w:rsidR="003366CD" w:rsidRPr="00E304E2">
        <w:rPr>
          <w:rFonts w:asciiTheme="majorHAnsi" w:eastAsia="Cambria" w:hAnsiTheme="majorHAnsi" w:cs="Cambria"/>
          <w:i/>
          <w:color w:val="auto"/>
          <w:sz w:val="24"/>
          <w:szCs w:val="20"/>
          <w:bdr w:val="nil"/>
          <w:lang w:val="fr-CA"/>
        </w:rPr>
        <w:t> </w:t>
      </w:r>
      <w:r w:rsidRPr="00E304E2">
        <w:rPr>
          <w:rFonts w:asciiTheme="majorHAnsi" w:eastAsia="Cambria" w:hAnsiTheme="majorHAnsi" w:cs="Cambria"/>
          <w:i/>
          <w:color w:val="auto"/>
          <w:sz w:val="24"/>
          <w:szCs w:val="20"/>
          <w:bdr w:val="nil"/>
          <w:lang w:val="fr-CA"/>
        </w:rPr>
        <w:t>26).</w:t>
      </w:r>
    </w:p>
    <w:p w:rsidR="00523CE4" w:rsidRPr="00E304E2" w:rsidRDefault="001C372C">
      <w:pPr>
        <w:spacing w:after="0"/>
        <w:rPr>
          <w:rFonts w:asciiTheme="majorHAnsi" w:hAnsiTheme="majorHAnsi"/>
          <w:i/>
          <w:color w:val="auto"/>
          <w:sz w:val="24"/>
          <w:szCs w:val="20"/>
          <w:lang w:val="fr-CA"/>
        </w:rPr>
      </w:pPr>
      <w:r w:rsidRPr="00E304E2">
        <w:rPr>
          <w:rFonts w:asciiTheme="majorHAnsi" w:hAnsiTheme="majorHAnsi"/>
          <w:i/>
          <w:color w:val="auto"/>
          <w:sz w:val="24"/>
          <w:szCs w:val="20"/>
          <w:lang w:val="fr-CA"/>
        </w:rPr>
        <w:t xml:space="preserve"> </w:t>
      </w:r>
    </w:p>
    <w:tbl>
      <w:tblPr>
        <w:tblStyle w:val="LightGrid-Accent5"/>
        <w:tblW w:w="0" w:type="auto"/>
        <w:tblLook w:val="04A0" w:firstRow="1" w:lastRow="0" w:firstColumn="1" w:lastColumn="0" w:noHBand="0" w:noVBand="1"/>
      </w:tblPr>
      <w:tblGrid>
        <w:gridCol w:w="456"/>
        <w:gridCol w:w="9120"/>
      </w:tblGrid>
      <w:tr w:rsidR="00F84C4D" w:rsidRPr="00E304E2" w:rsidTr="00F84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685B02" w:rsidRPr="00E304E2" w:rsidRDefault="000979EB" w:rsidP="00C2330F">
            <w:pPr>
              <w:rPr>
                <w:b w:val="0"/>
                <w:bCs w:val="0"/>
                <w:color w:val="auto"/>
                <w:lang w:val="fr-CA"/>
              </w:rPr>
            </w:pPr>
          </w:p>
        </w:tc>
        <w:tc>
          <w:tcPr>
            <w:tcW w:w="29739" w:type="dxa"/>
            <w:hideMark/>
          </w:tcPr>
          <w:p w:rsidR="00685B02" w:rsidRPr="00E304E2" w:rsidRDefault="001C372C" w:rsidP="00C2330F">
            <w:pPr>
              <w:cnfStyle w:val="100000000000" w:firstRow="1" w:lastRow="0" w:firstColumn="0" w:lastColumn="0" w:oddVBand="0" w:evenVBand="0" w:oddHBand="0" w:evenHBand="0" w:firstRowFirstColumn="0" w:firstRowLastColumn="0" w:lastRowFirstColumn="0" w:lastRowLastColumn="0"/>
              <w:rPr>
                <w:b w:val="0"/>
                <w:bCs w:val="0"/>
                <w:color w:val="auto"/>
              </w:rPr>
            </w:pPr>
            <w:r w:rsidRPr="00E304E2">
              <w:rPr>
                <w:rFonts w:eastAsia="Cambria" w:cs="Cambria"/>
                <w:color w:val="auto"/>
                <w:szCs w:val="18"/>
                <w:bdr w:val="nil"/>
                <w:lang w:val="fr-CA"/>
              </w:rPr>
              <w:t>Initiative régionale</w:t>
            </w:r>
          </w:p>
        </w:tc>
      </w:tr>
      <w:tr w:rsidR="00F84C4D" w:rsidRPr="000979EB" w:rsidTr="00F8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685B02" w:rsidRPr="00E304E2" w:rsidRDefault="001C372C" w:rsidP="00C2330F">
            <w:pPr>
              <w:rPr>
                <w:b w:val="0"/>
                <w:bCs w:val="0"/>
                <w:color w:val="auto"/>
              </w:rPr>
            </w:pPr>
            <w:r w:rsidRPr="00E304E2">
              <w:rPr>
                <w:rFonts w:eastAsia="Cambria" w:cs="Cambria"/>
                <w:color w:val="auto"/>
                <w:szCs w:val="18"/>
                <w:bdr w:val="nil"/>
                <w:lang w:val="fr-CA"/>
              </w:rPr>
              <w:t>7</w:t>
            </w:r>
          </w:p>
        </w:tc>
        <w:tc>
          <w:tcPr>
            <w:tcW w:w="29739" w:type="dxa"/>
          </w:tcPr>
          <w:p w:rsidR="00685B02" w:rsidRPr="00E304E2" w:rsidRDefault="001C372C" w:rsidP="00E7742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auto"/>
                <w:lang w:val="fr-CA"/>
              </w:rPr>
            </w:pPr>
            <w:r w:rsidRPr="00E304E2">
              <w:rPr>
                <w:rFonts w:asciiTheme="majorHAnsi" w:eastAsia="Cambria" w:hAnsiTheme="majorHAnsi" w:cs="Cambria"/>
                <w:color w:val="auto"/>
                <w:szCs w:val="18"/>
                <w:bdr w:val="nil"/>
                <w:lang w:val="fr-CA"/>
              </w:rPr>
              <w:t>Renforcer les stratégies, la gouvernance et les mécanismes de gestion des risques de catastrophe, ainsi que leur évaluation aux niveaux qui conviennent.</w:t>
            </w:r>
          </w:p>
        </w:tc>
      </w:tr>
      <w:tr w:rsidR="00F84C4D" w:rsidRPr="000979EB" w:rsidTr="00F84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685B02" w:rsidRPr="00E304E2" w:rsidRDefault="001C372C" w:rsidP="00C2330F">
            <w:pPr>
              <w:rPr>
                <w:b w:val="0"/>
                <w:bCs w:val="0"/>
                <w:color w:val="auto"/>
              </w:rPr>
            </w:pPr>
            <w:r w:rsidRPr="00E304E2">
              <w:rPr>
                <w:rFonts w:eastAsia="Cambria" w:cs="Cambria"/>
                <w:color w:val="auto"/>
                <w:szCs w:val="18"/>
                <w:bdr w:val="nil"/>
                <w:lang w:val="fr-CA"/>
              </w:rPr>
              <w:t>8</w:t>
            </w:r>
          </w:p>
        </w:tc>
        <w:tc>
          <w:tcPr>
            <w:tcW w:w="29739" w:type="dxa"/>
          </w:tcPr>
          <w:p w:rsidR="00685B02" w:rsidRPr="00E304E2" w:rsidRDefault="001C372C" w:rsidP="00523CE4">
            <w:pPr>
              <w:widowControl/>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Cs w:val="18"/>
                <w:bdr w:val="nil"/>
                <w:lang w:val="fr-CA"/>
              </w:rPr>
              <w:t>Améliorer les programmes de renforcement des capacités et la coopération en matière de gestion des risques de catastrophe</w:t>
            </w:r>
            <w:r w:rsidR="00B57ADB" w:rsidRPr="00E304E2">
              <w:rPr>
                <w:rFonts w:asciiTheme="majorHAnsi" w:eastAsia="Cambria" w:hAnsiTheme="majorHAnsi" w:cs="Cambria"/>
                <w:color w:val="auto"/>
                <w:szCs w:val="18"/>
                <w:bdr w:val="nil"/>
                <w:lang w:val="fr-CA"/>
              </w:rPr>
              <w:t>s</w:t>
            </w:r>
            <w:r w:rsidRPr="00E304E2">
              <w:rPr>
                <w:rFonts w:asciiTheme="majorHAnsi" w:eastAsia="Cambria" w:hAnsiTheme="majorHAnsi" w:cs="Cambria"/>
                <w:color w:val="auto"/>
                <w:szCs w:val="18"/>
                <w:bdr w:val="nil"/>
                <w:lang w:val="fr-CA"/>
              </w:rPr>
              <w:t xml:space="preserve"> et de gouvernance.</w:t>
            </w:r>
          </w:p>
        </w:tc>
      </w:tr>
      <w:tr w:rsidR="00F84C4D" w:rsidRPr="000979EB" w:rsidTr="00F8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685B02" w:rsidRPr="00E304E2" w:rsidRDefault="001C372C" w:rsidP="00C2330F">
            <w:pPr>
              <w:rPr>
                <w:b w:val="0"/>
                <w:bCs w:val="0"/>
                <w:color w:val="auto"/>
              </w:rPr>
            </w:pPr>
            <w:r w:rsidRPr="00E304E2">
              <w:rPr>
                <w:rFonts w:eastAsia="Cambria" w:cs="Cambria"/>
                <w:color w:val="auto"/>
                <w:szCs w:val="18"/>
                <w:bdr w:val="nil"/>
                <w:lang w:val="fr-CA"/>
              </w:rPr>
              <w:t>9</w:t>
            </w:r>
          </w:p>
        </w:tc>
        <w:tc>
          <w:tcPr>
            <w:tcW w:w="29739" w:type="dxa"/>
          </w:tcPr>
          <w:p w:rsidR="00685B02" w:rsidRPr="00E304E2" w:rsidRDefault="001C372C" w:rsidP="00685B02">
            <w:pPr>
              <w:widowControl/>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Favoriser des échanges entre plusieurs intervenants et plusieurs pays, par l’échange d’expériences et de pratiques exemplaires pour intégrer des mesures de RRC dans tous les domaines, y compris les sphères de l’adaptation aux changements climatiques et du développement durable.</w:t>
            </w:r>
          </w:p>
        </w:tc>
      </w:tr>
    </w:tbl>
    <w:p w:rsidR="003B3784" w:rsidRPr="00E304E2" w:rsidRDefault="001C372C">
      <w:pPr>
        <w:pStyle w:val="Heading2"/>
        <w:keepNext w:val="0"/>
        <w:keepLines w:val="0"/>
        <w:spacing w:before="360" w:after="80"/>
        <w:rPr>
          <w:rFonts w:asciiTheme="majorHAnsi" w:eastAsia="Calibri" w:hAnsiTheme="majorHAnsi" w:cs="Calibri"/>
          <w:i/>
          <w:color w:val="auto"/>
          <w:sz w:val="36"/>
          <w:szCs w:val="34"/>
          <w:lang w:val="fr-CA"/>
        </w:rPr>
      </w:pPr>
      <w:bookmarkStart w:id="6" w:name="_2jk81f2p913z"/>
      <w:bookmarkEnd w:id="6"/>
      <w:r w:rsidRPr="00E304E2">
        <w:rPr>
          <w:rFonts w:asciiTheme="majorHAnsi" w:hAnsiTheme="majorHAnsi"/>
          <w:i/>
          <w:color w:val="auto"/>
          <w:sz w:val="36"/>
          <w:szCs w:val="28"/>
          <w:bdr w:val="nil"/>
          <w:lang w:val="fr-CA"/>
        </w:rPr>
        <w:t>Priorité trois : Investir dans la réduction des risques de catastrophes aux fins de la résilience</w:t>
      </w:r>
    </w:p>
    <w:p w:rsidR="003B3784" w:rsidRDefault="001C372C">
      <w:pPr>
        <w:rPr>
          <w:rFonts w:asciiTheme="majorHAnsi" w:eastAsia="Cambria" w:hAnsiTheme="majorHAnsi" w:cs="Cambria"/>
          <w:i/>
          <w:color w:val="auto"/>
          <w:sz w:val="24"/>
          <w:szCs w:val="20"/>
          <w:bdr w:val="nil"/>
          <w:lang w:val="fr-CA"/>
        </w:rPr>
      </w:pPr>
      <w:r w:rsidRPr="00E304E2">
        <w:rPr>
          <w:rFonts w:asciiTheme="majorHAnsi" w:eastAsia="Cambria" w:hAnsiTheme="majorHAnsi" w:cs="Cambria"/>
          <w:i/>
          <w:color w:val="auto"/>
          <w:sz w:val="24"/>
          <w:szCs w:val="20"/>
          <w:bdr w:val="nil"/>
          <w:lang w:val="fr-CA"/>
        </w:rPr>
        <w:t>L’investissement public et privé dans la prévention et la réduction des risques de catastrophes au moyen de mesures structurelles et non structurelles revêt une importance essentielle pour ce qui est de renforcer la résilience économique, sociale, sanitaire et culturelle des personnes, des collectivités, des pays et de leurs biens, et de préserver l’environnement. Ces éléments peuvent contribuer à l’innovation, à la croissance et à la création d’emplois. De telles mesures sont économiquement justifiées et capitales pour sauver des vies, prévenir et réduire les pertes matérielles et garantir un relèvement et une réhabilitation efficaces (paragraphe</w:t>
      </w:r>
      <w:r w:rsidR="003366CD" w:rsidRPr="00E304E2">
        <w:rPr>
          <w:rFonts w:asciiTheme="majorHAnsi" w:eastAsia="Cambria" w:hAnsiTheme="majorHAnsi" w:cs="Cambria"/>
          <w:i/>
          <w:color w:val="auto"/>
          <w:sz w:val="24"/>
          <w:szCs w:val="20"/>
          <w:bdr w:val="nil"/>
          <w:lang w:val="fr-CA"/>
        </w:rPr>
        <w:t> </w:t>
      </w:r>
      <w:r w:rsidRPr="00E304E2">
        <w:rPr>
          <w:rFonts w:asciiTheme="majorHAnsi" w:eastAsia="Cambria" w:hAnsiTheme="majorHAnsi" w:cs="Cambria"/>
          <w:i/>
          <w:color w:val="auto"/>
          <w:sz w:val="24"/>
          <w:szCs w:val="20"/>
          <w:bdr w:val="nil"/>
          <w:lang w:val="fr-CA"/>
        </w:rPr>
        <w:t>29).</w:t>
      </w:r>
    </w:p>
    <w:p w:rsidR="00495F90" w:rsidRPr="00E304E2" w:rsidRDefault="00495F90" w:rsidP="00495F90">
      <w:pPr>
        <w:spacing w:after="0" w:line="240" w:lineRule="auto"/>
        <w:rPr>
          <w:rFonts w:asciiTheme="majorHAnsi" w:hAnsiTheme="majorHAnsi"/>
          <w:i/>
          <w:color w:val="auto"/>
          <w:sz w:val="24"/>
          <w:szCs w:val="20"/>
          <w:lang w:val="fr-CA"/>
        </w:rPr>
      </w:pPr>
    </w:p>
    <w:tbl>
      <w:tblPr>
        <w:tblStyle w:val="LightGrid-Accent5"/>
        <w:tblW w:w="0" w:type="auto"/>
        <w:tblLook w:val="04A0" w:firstRow="1" w:lastRow="0" w:firstColumn="1" w:lastColumn="0" w:noHBand="0" w:noVBand="1"/>
      </w:tblPr>
      <w:tblGrid>
        <w:gridCol w:w="621"/>
        <w:gridCol w:w="8955"/>
      </w:tblGrid>
      <w:tr w:rsidR="00F84C4D" w:rsidRPr="00E304E2" w:rsidTr="00F84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685B02" w:rsidRPr="00E304E2" w:rsidRDefault="000979EB" w:rsidP="00C2330F">
            <w:pPr>
              <w:rPr>
                <w:b w:val="0"/>
                <w:bCs w:val="0"/>
                <w:color w:val="auto"/>
                <w:lang w:val="fr-CA"/>
              </w:rPr>
            </w:pPr>
          </w:p>
        </w:tc>
        <w:tc>
          <w:tcPr>
            <w:tcW w:w="29466" w:type="dxa"/>
            <w:hideMark/>
          </w:tcPr>
          <w:p w:rsidR="00685B02" w:rsidRPr="00E304E2" w:rsidRDefault="001C372C" w:rsidP="00C2330F">
            <w:pPr>
              <w:cnfStyle w:val="100000000000" w:firstRow="1" w:lastRow="0" w:firstColumn="0" w:lastColumn="0" w:oddVBand="0" w:evenVBand="0" w:oddHBand="0" w:evenHBand="0" w:firstRowFirstColumn="0" w:firstRowLastColumn="0" w:lastRowFirstColumn="0" w:lastRowLastColumn="0"/>
              <w:rPr>
                <w:b w:val="0"/>
                <w:bCs w:val="0"/>
                <w:color w:val="auto"/>
              </w:rPr>
            </w:pPr>
            <w:r w:rsidRPr="00E304E2">
              <w:rPr>
                <w:rFonts w:eastAsia="Cambria" w:cs="Cambria"/>
                <w:color w:val="auto"/>
                <w:szCs w:val="18"/>
                <w:bdr w:val="nil"/>
                <w:lang w:val="fr-CA"/>
              </w:rPr>
              <w:t>Initiative régionale</w:t>
            </w:r>
          </w:p>
        </w:tc>
      </w:tr>
      <w:tr w:rsidR="00F84C4D" w:rsidRPr="000979EB" w:rsidTr="00F8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685B02" w:rsidRPr="00E304E2" w:rsidRDefault="001C372C" w:rsidP="00C2330F">
            <w:pPr>
              <w:rPr>
                <w:b w:val="0"/>
                <w:bCs w:val="0"/>
                <w:color w:val="auto"/>
              </w:rPr>
            </w:pPr>
            <w:r w:rsidRPr="00E304E2">
              <w:rPr>
                <w:rFonts w:eastAsia="Cambria" w:cs="Cambria"/>
                <w:color w:val="auto"/>
                <w:szCs w:val="18"/>
                <w:bdr w:val="nil"/>
                <w:lang w:val="fr-CA"/>
              </w:rPr>
              <w:t>10</w:t>
            </w:r>
          </w:p>
        </w:tc>
        <w:tc>
          <w:tcPr>
            <w:tcW w:w="29466" w:type="dxa"/>
          </w:tcPr>
          <w:p w:rsidR="00685B02" w:rsidRPr="00E304E2" w:rsidRDefault="001C372C" w:rsidP="00685B02">
            <w:pPr>
              <w:widowControl/>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auto"/>
                <w:lang w:val="fr-CA"/>
              </w:rPr>
            </w:pPr>
            <w:r w:rsidRPr="00E304E2">
              <w:rPr>
                <w:rFonts w:asciiTheme="majorHAnsi" w:eastAsia="Cambria" w:hAnsiTheme="majorHAnsi" w:cs="Cambria"/>
                <w:color w:val="auto"/>
                <w:sz w:val="24"/>
                <w:szCs w:val="20"/>
                <w:bdr w:val="nil"/>
                <w:lang w:val="fr-CA"/>
              </w:rPr>
              <w:t>Encourager les études régionales sur les pratiques exemplaires liées aux instruments financiers de transfert et de gestion du risque de catastrophe.</w:t>
            </w:r>
          </w:p>
        </w:tc>
      </w:tr>
      <w:tr w:rsidR="00F84C4D" w:rsidRPr="000979EB" w:rsidTr="00F84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685B02" w:rsidRPr="00E304E2" w:rsidRDefault="001C372C" w:rsidP="00C2330F">
            <w:pPr>
              <w:rPr>
                <w:b w:val="0"/>
                <w:bCs w:val="0"/>
                <w:color w:val="auto"/>
              </w:rPr>
            </w:pPr>
            <w:r w:rsidRPr="00E304E2">
              <w:rPr>
                <w:rFonts w:eastAsia="Cambria" w:cs="Cambria"/>
                <w:color w:val="auto"/>
                <w:szCs w:val="18"/>
                <w:bdr w:val="nil"/>
                <w:lang w:val="fr-CA"/>
              </w:rPr>
              <w:t>11</w:t>
            </w:r>
          </w:p>
        </w:tc>
        <w:tc>
          <w:tcPr>
            <w:tcW w:w="29466" w:type="dxa"/>
          </w:tcPr>
          <w:p w:rsidR="00685B02" w:rsidRPr="00E304E2" w:rsidRDefault="001C372C" w:rsidP="002F1FD9">
            <w:pPr>
              <w:widowControl/>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Stimuler et mobiliser les investissement</w:t>
            </w:r>
            <w:r w:rsidR="003366CD" w:rsidRPr="00E304E2">
              <w:rPr>
                <w:rFonts w:asciiTheme="majorHAnsi" w:eastAsia="Cambria" w:hAnsiTheme="majorHAnsi" w:cs="Cambria"/>
                <w:color w:val="auto"/>
                <w:sz w:val="24"/>
                <w:szCs w:val="20"/>
                <w:bdr w:val="nil"/>
                <w:lang w:val="fr-CA"/>
              </w:rPr>
              <w:t>s</w:t>
            </w:r>
            <w:r w:rsidRPr="00E304E2">
              <w:rPr>
                <w:rFonts w:asciiTheme="majorHAnsi" w:eastAsia="Cambria" w:hAnsiTheme="majorHAnsi" w:cs="Cambria"/>
                <w:color w:val="auto"/>
                <w:sz w:val="24"/>
                <w:szCs w:val="20"/>
                <w:bdr w:val="nil"/>
                <w:lang w:val="fr-CA"/>
              </w:rPr>
              <w:t xml:space="preserve"> dans la RRC, notamment au moyen de sources multiples et de modes de financement comme les partenariats publics et privés, les institutions multilatérales et d</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 xml:space="preserve">autres moyens de coopération.  </w:t>
            </w:r>
          </w:p>
        </w:tc>
      </w:tr>
      <w:tr w:rsidR="00495F90" w:rsidRPr="000979EB" w:rsidTr="00F8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495F90" w:rsidRPr="00E304E2" w:rsidRDefault="00495F90" w:rsidP="00C2330F">
            <w:pPr>
              <w:rPr>
                <w:rFonts w:eastAsia="Cambria" w:cs="Cambria"/>
                <w:color w:val="auto"/>
                <w:szCs w:val="18"/>
                <w:bdr w:val="nil"/>
                <w:lang w:val="fr-CA"/>
              </w:rPr>
            </w:pPr>
            <w:r>
              <w:rPr>
                <w:rFonts w:eastAsia="Cambria" w:cs="Cambria"/>
                <w:color w:val="auto"/>
                <w:szCs w:val="18"/>
                <w:bdr w:val="nil"/>
                <w:lang w:val="fr-CA"/>
              </w:rPr>
              <w:t>12</w:t>
            </w:r>
          </w:p>
        </w:tc>
        <w:tc>
          <w:tcPr>
            <w:tcW w:w="29466" w:type="dxa"/>
          </w:tcPr>
          <w:p w:rsidR="00495F90" w:rsidRPr="00E304E2" w:rsidRDefault="00495F90" w:rsidP="008929ED">
            <w:pPr>
              <w:widowControl/>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cs="Cambria"/>
                <w:color w:val="auto"/>
                <w:sz w:val="24"/>
                <w:szCs w:val="20"/>
                <w:bdr w:val="nil"/>
                <w:lang w:val="fr-CA"/>
              </w:rPr>
            </w:pPr>
            <w:r>
              <w:rPr>
                <w:rFonts w:asciiTheme="majorHAnsi" w:eastAsia="Cambria" w:hAnsiTheme="majorHAnsi" w:cs="Cambria"/>
                <w:color w:val="auto"/>
                <w:sz w:val="24"/>
                <w:szCs w:val="20"/>
                <w:bdr w:val="nil"/>
                <w:lang w:val="fr-CA"/>
              </w:rPr>
              <w:t>P</w:t>
            </w:r>
            <w:r w:rsidRPr="00E304E2">
              <w:rPr>
                <w:rFonts w:asciiTheme="majorHAnsi" w:eastAsia="Cambria" w:hAnsiTheme="majorHAnsi" w:cs="Cambria"/>
                <w:color w:val="auto"/>
                <w:sz w:val="24"/>
                <w:szCs w:val="20"/>
                <w:bdr w:val="nil"/>
                <w:lang w:val="fr-CA"/>
              </w:rPr>
              <w:t>romouvoir le partage des pratiques exemplaires sur la continuité des services vitaux, en tenant compte de tous les risques, le cas échéant.</w:t>
            </w:r>
          </w:p>
        </w:tc>
      </w:tr>
    </w:tbl>
    <w:p w:rsidR="003B3784" w:rsidRPr="00E304E2" w:rsidRDefault="001C372C" w:rsidP="00C6354A">
      <w:pPr>
        <w:pStyle w:val="Heading2"/>
        <w:keepNext w:val="0"/>
        <w:keepLines w:val="0"/>
        <w:spacing w:before="360" w:after="80"/>
        <w:rPr>
          <w:rFonts w:asciiTheme="majorHAnsi" w:eastAsia="Calibri" w:hAnsiTheme="majorHAnsi" w:cs="Calibri"/>
          <w:i/>
          <w:color w:val="auto"/>
          <w:sz w:val="36"/>
          <w:szCs w:val="34"/>
          <w:lang w:val="fr-CA"/>
        </w:rPr>
      </w:pPr>
      <w:bookmarkStart w:id="7" w:name="_hk2f8fq10htt"/>
      <w:bookmarkEnd w:id="7"/>
      <w:r w:rsidRPr="00E304E2">
        <w:rPr>
          <w:rFonts w:asciiTheme="majorHAnsi" w:hAnsiTheme="majorHAnsi"/>
          <w:i/>
          <w:color w:val="auto"/>
          <w:sz w:val="36"/>
          <w:szCs w:val="28"/>
          <w:bdr w:val="nil"/>
          <w:lang w:val="fr-CA"/>
        </w:rPr>
        <w:t>Priorité quatre : Renforcer l’état de préparation aux catastrophes pour intervenir de manière efficace et pour « mieux reconstruire » durant la phase de relèvement, de remise en état et de reconstruction</w:t>
      </w:r>
    </w:p>
    <w:p w:rsidR="003B3784" w:rsidRPr="00E304E2" w:rsidRDefault="001C372C">
      <w:pPr>
        <w:spacing w:after="0"/>
        <w:jc w:val="both"/>
        <w:rPr>
          <w:rFonts w:asciiTheme="majorHAnsi" w:hAnsiTheme="majorHAnsi"/>
          <w:i/>
          <w:color w:val="auto"/>
          <w:sz w:val="24"/>
          <w:szCs w:val="20"/>
          <w:lang w:val="fr-CA"/>
        </w:rPr>
      </w:pPr>
      <w:r w:rsidRPr="00E304E2">
        <w:rPr>
          <w:rFonts w:asciiTheme="majorHAnsi" w:eastAsia="Cambria" w:hAnsiTheme="majorHAnsi" w:cs="Cambria"/>
          <w:i/>
          <w:color w:val="auto"/>
          <w:sz w:val="24"/>
          <w:szCs w:val="20"/>
          <w:bdr w:val="nil"/>
          <w:lang w:val="fr-CA"/>
        </w:rPr>
        <w:t xml:space="preserve">Le fait que les risques de catastrophes ne cessent d’augmenter, notamment le fait que les populations et les biens soient de plus en plus exposés aux risques, et les enseignements tirés des catastrophes passées montrent qu’il faut mieux se préparer à l’intervention en cas de catastrophe, prendre des mesures avant que les catastrophes se produisent, intégrer la </w:t>
      </w:r>
      <w:r w:rsidR="003366CD" w:rsidRPr="00E304E2">
        <w:rPr>
          <w:rFonts w:asciiTheme="majorHAnsi" w:eastAsia="Cambria" w:hAnsiTheme="majorHAnsi" w:cs="Cambria"/>
          <w:i/>
          <w:color w:val="auto"/>
          <w:sz w:val="24"/>
          <w:szCs w:val="20"/>
          <w:bdr w:val="nil"/>
          <w:lang w:val="fr-CA"/>
        </w:rPr>
        <w:t>RRC</w:t>
      </w:r>
      <w:r w:rsidRPr="00E304E2">
        <w:rPr>
          <w:rFonts w:asciiTheme="majorHAnsi" w:eastAsia="Cambria" w:hAnsiTheme="majorHAnsi" w:cs="Cambria"/>
          <w:i/>
          <w:color w:val="auto"/>
          <w:sz w:val="24"/>
          <w:szCs w:val="20"/>
          <w:bdr w:val="nil"/>
          <w:lang w:val="fr-CA"/>
        </w:rPr>
        <w:t xml:space="preserve"> dans la préparation aux catastrophes et veiller à ce que des moyens soient en place pour que des opérations de secours et de relèvement puissent être menées efficacement à tous les niveaux. Il est essentiel de permettre aux femmes et aux personnes handicapées de jouer publiquement un rôle de chef de file et de promouvoir des activités d’intervention, de relèvement, de remise en état et de reconstruction soucieuses de l’équité du traitement des hommes et des femmes et accessibles à tous. L’expérience des catastrophes passées a montré que la phase de relèvement, de remise en état et de reconstruction doit être préparée en amont et qu’elle est une occasion cruciale de « mieux reconstruire</w:t>
      </w:r>
      <w:r w:rsidR="003366CD" w:rsidRPr="00E304E2">
        <w:rPr>
          <w:rFonts w:asciiTheme="majorHAnsi" w:eastAsia="Cambria" w:hAnsiTheme="majorHAnsi" w:cs="Cambria"/>
          <w:i/>
          <w:color w:val="auto"/>
          <w:sz w:val="24"/>
          <w:szCs w:val="20"/>
          <w:bdr w:val="nil"/>
          <w:lang w:val="fr-CA"/>
        </w:rPr>
        <w:t xml:space="preserve"> »</w:t>
      </w:r>
      <w:r w:rsidRPr="00E304E2">
        <w:rPr>
          <w:rFonts w:asciiTheme="majorHAnsi" w:eastAsia="Cambria" w:hAnsiTheme="majorHAnsi" w:cs="Cambria"/>
          <w:i/>
          <w:color w:val="auto"/>
          <w:sz w:val="24"/>
          <w:szCs w:val="20"/>
          <w:bdr w:val="nil"/>
          <w:lang w:val="fr-CA"/>
        </w:rPr>
        <w:t>, notamment en intégrant la réduction des risques de catastrophe dans les mesures de développement, de sorte que les nations et les collectivités deviennent résilientes face aux catastrophes (paragraphe</w:t>
      </w:r>
      <w:r w:rsidR="003366CD" w:rsidRPr="00E304E2">
        <w:rPr>
          <w:rFonts w:asciiTheme="majorHAnsi" w:eastAsia="Cambria" w:hAnsiTheme="majorHAnsi" w:cs="Cambria"/>
          <w:i/>
          <w:color w:val="auto"/>
          <w:sz w:val="24"/>
          <w:szCs w:val="20"/>
          <w:bdr w:val="nil"/>
          <w:lang w:val="fr-CA"/>
        </w:rPr>
        <w:t> </w:t>
      </w:r>
      <w:r w:rsidRPr="00E304E2">
        <w:rPr>
          <w:rFonts w:asciiTheme="majorHAnsi" w:eastAsia="Cambria" w:hAnsiTheme="majorHAnsi" w:cs="Cambria"/>
          <w:i/>
          <w:color w:val="auto"/>
          <w:sz w:val="24"/>
          <w:szCs w:val="20"/>
          <w:bdr w:val="nil"/>
          <w:lang w:val="fr-CA"/>
        </w:rPr>
        <w:t>32).</w:t>
      </w:r>
    </w:p>
    <w:p w:rsidR="002B732B" w:rsidRPr="00E304E2" w:rsidRDefault="001C372C">
      <w:pPr>
        <w:spacing w:after="0"/>
        <w:rPr>
          <w:rFonts w:asciiTheme="majorHAnsi" w:hAnsiTheme="majorHAnsi"/>
          <w:i/>
          <w:color w:val="auto"/>
          <w:sz w:val="24"/>
          <w:szCs w:val="20"/>
          <w:lang w:val="fr-CA"/>
        </w:rPr>
      </w:pPr>
      <w:r w:rsidRPr="00E304E2">
        <w:rPr>
          <w:rFonts w:asciiTheme="majorHAnsi" w:hAnsiTheme="majorHAnsi"/>
          <w:i/>
          <w:color w:val="auto"/>
          <w:sz w:val="24"/>
          <w:szCs w:val="20"/>
          <w:lang w:val="fr-CA"/>
        </w:rPr>
        <w:t xml:space="preserve"> </w:t>
      </w:r>
    </w:p>
    <w:tbl>
      <w:tblPr>
        <w:tblStyle w:val="LightGrid-Accent5"/>
        <w:tblW w:w="0" w:type="auto"/>
        <w:tblLook w:val="04A0" w:firstRow="1" w:lastRow="0" w:firstColumn="1" w:lastColumn="0" w:noHBand="0" w:noVBand="1"/>
      </w:tblPr>
      <w:tblGrid>
        <w:gridCol w:w="621"/>
        <w:gridCol w:w="8955"/>
      </w:tblGrid>
      <w:tr w:rsidR="00F84C4D" w:rsidRPr="00E304E2" w:rsidTr="00F84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685B02" w:rsidRPr="00E304E2" w:rsidRDefault="000979EB" w:rsidP="00C2330F">
            <w:pPr>
              <w:rPr>
                <w:b w:val="0"/>
                <w:bCs w:val="0"/>
                <w:color w:val="auto"/>
                <w:lang w:val="fr-CA"/>
              </w:rPr>
            </w:pPr>
          </w:p>
        </w:tc>
        <w:tc>
          <w:tcPr>
            <w:tcW w:w="29466" w:type="dxa"/>
            <w:hideMark/>
          </w:tcPr>
          <w:p w:rsidR="00685B02" w:rsidRPr="00E304E2" w:rsidRDefault="001C372C" w:rsidP="00C2330F">
            <w:pPr>
              <w:cnfStyle w:val="100000000000" w:firstRow="1" w:lastRow="0" w:firstColumn="0" w:lastColumn="0" w:oddVBand="0" w:evenVBand="0" w:oddHBand="0" w:evenHBand="0" w:firstRowFirstColumn="0" w:firstRowLastColumn="0" w:lastRowFirstColumn="0" w:lastRowLastColumn="0"/>
              <w:rPr>
                <w:b w:val="0"/>
                <w:bCs w:val="0"/>
                <w:color w:val="auto"/>
              </w:rPr>
            </w:pPr>
            <w:r w:rsidRPr="00E304E2">
              <w:rPr>
                <w:rFonts w:eastAsia="Cambria" w:cs="Cambria"/>
                <w:color w:val="auto"/>
                <w:szCs w:val="18"/>
                <w:bdr w:val="nil"/>
                <w:lang w:val="fr-CA"/>
              </w:rPr>
              <w:t>Initiative régionale</w:t>
            </w:r>
          </w:p>
        </w:tc>
      </w:tr>
      <w:tr w:rsidR="00F84C4D" w:rsidRPr="000979EB" w:rsidTr="00F8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685B02" w:rsidRPr="00E304E2" w:rsidRDefault="001C372C" w:rsidP="00C2330F">
            <w:pPr>
              <w:rPr>
                <w:b w:val="0"/>
                <w:bCs w:val="0"/>
                <w:color w:val="auto"/>
              </w:rPr>
            </w:pPr>
            <w:r w:rsidRPr="00E304E2">
              <w:rPr>
                <w:rFonts w:eastAsia="Cambria" w:cs="Cambria"/>
                <w:color w:val="auto"/>
                <w:szCs w:val="18"/>
                <w:bdr w:val="nil"/>
                <w:lang w:val="fr-CA"/>
              </w:rPr>
              <w:t>12</w:t>
            </w:r>
          </w:p>
        </w:tc>
        <w:tc>
          <w:tcPr>
            <w:tcW w:w="29466" w:type="dxa"/>
          </w:tcPr>
          <w:p w:rsidR="00685B02" w:rsidRPr="00E304E2" w:rsidRDefault="001C372C" w:rsidP="00685B02">
            <w:pPr>
              <w:widowControl/>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auto"/>
                <w:lang w:val="fr-CA"/>
              </w:rPr>
            </w:pPr>
            <w:r w:rsidRPr="00E304E2">
              <w:rPr>
                <w:rFonts w:asciiTheme="majorHAnsi" w:eastAsia="Cambria" w:hAnsiTheme="majorHAnsi" w:cs="Cambria"/>
                <w:color w:val="auto"/>
                <w:sz w:val="24"/>
                <w:szCs w:val="20"/>
                <w:bdr w:val="nil"/>
                <w:lang w:val="fr-CA"/>
              </w:rPr>
              <w:t>Renforcer la coordination, la collaboration et la participation des gouvernements, des communautés, des organisations régionales et internationales, des organisations de la société civile, de bénévoles et d’autres intervenants, ainsi qu’en intervention et en relèvement, selon la portée de leurs priorités et de leurs mandats respectifs.</w:t>
            </w:r>
          </w:p>
        </w:tc>
      </w:tr>
      <w:tr w:rsidR="00F84C4D" w:rsidRPr="000979EB" w:rsidTr="00F84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685B02" w:rsidRPr="00E304E2" w:rsidRDefault="001C372C" w:rsidP="00C2330F">
            <w:pPr>
              <w:rPr>
                <w:b w:val="0"/>
                <w:bCs w:val="0"/>
                <w:color w:val="auto"/>
              </w:rPr>
            </w:pPr>
            <w:r w:rsidRPr="00E304E2">
              <w:rPr>
                <w:rFonts w:eastAsia="Cambria" w:cs="Cambria"/>
                <w:color w:val="auto"/>
                <w:szCs w:val="18"/>
                <w:bdr w:val="nil"/>
                <w:lang w:val="fr-CA"/>
              </w:rPr>
              <w:t>13</w:t>
            </w:r>
          </w:p>
        </w:tc>
        <w:tc>
          <w:tcPr>
            <w:tcW w:w="29466" w:type="dxa"/>
          </w:tcPr>
          <w:p w:rsidR="00685B02" w:rsidRPr="00E304E2" w:rsidRDefault="001C372C" w:rsidP="00685B02">
            <w:pPr>
              <w:widowControl/>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Promouvoir l</w:t>
            </w:r>
            <w:r w:rsidR="003366CD" w:rsidRPr="00E304E2">
              <w:rPr>
                <w:rFonts w:asciiTheme="majorHAnsi" w:eastAsia="Cambria" w:hAnsiTheme="majorHAnsi" w:cs="Cambria"/>
                <w:color w:val="auto"/>
                <w:sz w:val="24"/>
                <w:szCs w:val="20"/>
                <w:bdr w:val="nil"/>
                <w:lang w:val="fr-CA"/>
              </w:rPr>
              <w:t>’</w:t>
            </w:r>
            <w:r w:rsidRPr="00E304E2">
              <w:rPr>
                <w:rFonts w:asciiTheme="majorHAnsi" w:eastAsia="Cambria" w:hAnsiTheme="majorHAnsi" w:cs="Cambria"/>
                <w:color w:val="auto"/>
                <w:sz w:val="24"/>
                <w:szCs w:val="20"/>
                <w:bdr w:val="nil"/>
                <w:lang w:val="fr-CA"/>
              </w:rPr>
              <w:t>échange des connaissances et des pratiques exemplaires en matière de rétablissement après les catastrophes qui intègrent l’optique du « mieux reconstruire » pour protéger les communautés et leurs moyens de subsistance.</w:t>
            </w:r>
          </w:p>
        </w:tc>
      </w:tr>
      <w:tr w:rsidR="00F84C4D" w:rsidRPr="000979EB" w:rsidTr="00F8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685B02" w:rsidRPr="00E304E2" w:rsidRDefault="001C372C" w:rsidP="00C2330F">
            <w:pPr>
              <w:rPr>
                <w:b w:val="0"/>
                <w:bCs w:val="0"/>
                <w:color w:val="auto"/>
              </w:rPr>
            </w:pPr>
            <w:r w:rsidRPr="00E304E2">
              <w:rPr>
                <w:rFonts w:eastAsia="Cambria" w:cs="Cambria"/>
                <w:color w:val="auto"/>
                <w:szCs w:val="18"/>
                <w:bdr w:val="nil"/>
                <w:lang w:val="fr-CA"/>
              </w:rPr>
              <w:t>14</w:t>
            </w:r>
          </w:p>
        </w:tc>
        <w:tc>
          <w:tcPr>
            <w:tcW w:w="29466" w:type="dxa"/>
          </w:tcPr>
          <w:p w:rsidR="00685B02" w:rsidRPr="00E304E2" w:rsidRDefault="001C372C" w:rsidP="001D5119">
            <w:pPr>
              <w:widowControl/>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 xml:space="preserve">Renforcer l’échange de connaissances et d’expérience sur les plans de développement urbain et rural qui tiennent compte des risques de catastrophe, et ce, dans le but d’améliorer les outils de planification comme les codes du bâtiment et les plans d’urbanisme. </w:t>
            </w:r>
          </w:p>
        </w:tc>
      </w:tr>
      <w:tr w:rsidR="00F84C4D" w:rsidRPr="000979EB" w:rsidTr="00F84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tcPr>
          <w:p w:rsidR="00685B02" w:rsidRPr="00E304E2" w:rsidRDefault="001C372C" w:rsidP="00C2330F">
            <w:pPr>
              <w:rPr>
                <w:b w:val="0"/>
                <w:bCs w:val="0"/>
                <w:color w:val="auto"/>
              </w:rPr>
            </w:pPr>
            <w:r w:rsidRPr="00E304E2">
              <w:rPr>
                <w:rFonts w:eastAsia="Cambria" w:cs="Cambria"/>
                <w:color w:val="auto"/>
                <w:szCs w:val="18"/>
                <w:bdr w:val="nil"/>
                <w:lang w:val="fr-CA"/>
              </w:rPr>
              <w:t>15</w:t>
            </w:r>
          </w:p>
        </w:tc>
        <w:tc>
          <w:tcPr>
            <w:tcW w:w="29466" w:type="dxa"/>
          </w:tcPr>
          <w:p w:rsidR="00685B02" w:rsidRPr="00E304E2" w:rsidRDefault="001C372C" w:rsidP="00BD3717">
            <w:pPr>
              <w:widowControl/>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0"/>
                <w:lang w:val="fr-CA"/>
              </w:rPr>
            </w:pPr>
            <w:r w:rsidRPr="00E304E2">
              <w:rPr>
                <w:rFonts w:asciiTheme="majorHAnsi" w:eastAsia="Cambria" w:hAnsiTheme="majorHAnsi" w:cs="Cambria"/>
                <w:color w:val="auto"/>
                <w:sz w:val="24"/>
                <w:szCs w:val="20"/>
                <w:bdr w:val="nil"/>
                <w:lang w:val="fr-CA"/>
              </w:rPr>
              <w:t xml:space="preserve">Élaborer et échanger des pratiques exemplaires et des stratégies en vue d’améliorer les systèmes d’alertes rapides intégrés, les systèmes d’information sur les risques de catastrophes et les systèmes de surveillance, et trouver des façons de solidifier les liens entre les organismes techniques et scientifiques, les communautés et les décideurs. </w:t>
            </w:r>
          </w:p>
        </w:tc>
      </w:tr>
    </w:tbl>
    <w:p w:rsidR="0064518A" w:rsidRPr="00E304E2" w:rsidRDefault="001C372C">
      <w:pPr>
        <w:spacing w:after="0"/>
        <w:rPr>
          <w:rFonts w:asciiTheme="majorHAnsi" w:hAnsiTheme="majorHAnsi"/>
          <w:color w:val="auto"/>
          <w:sz w:val="28"/>
          <w:lang w:val="fr-CA"/>
        </w:rPr>
      </w:pPr>
      <w:r w:rsidRPr="00E304E2">
        <w:rPr>
          <w:rFonts w:asciiTheme="majorHAnsi" w:hAnsiTheme="majorHAnsi"/>
          <w:color w:val="auto"/>
          <w:sz w:val="28"/>
          <w:lang w:val="fr-CA"/>
        </w:rPr>
        <w:t xml:space="preserve"> </w:t>
      </w:r>
    </w:p>
    <w:sectPr w:rsidR="0064518A" w:rsidRPr="00E304E2" w:rsidSect="00376992">
      <w:headerReference w:type="default" r:id="rId9"/>
      <w:footerReference w:type="default" r:id="rId10"/>
      <w:headerReference w:type="first" r:id="rId11"/>
      <w:footerReference w:type="first" r:id="rId12"/>
      <w:pgSz w:w="12240" w:h="15840" w:code="1"/>
      <w:pgMar w:top="1620" w:right="1440" w:bottom="1440" w:left="1440" w:header="0" w:footer="0" w:gutter="0"/>
      <w:paperSrc w:first="1025" w:other="1025"/>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95" w:rsidRDefault="00D73795">
      <w:pPr>
        <w:spacing w:after="0" w:line="240" w:lineRule="auto"/>
      </w:pPr>
      <w:r>
        <w:separator/>
      </w:r>
    </w:p>
  </w:endnote>
  <w:endnote w:type="continuationSeparator" w:id="0">
    <w:p w:rsidR="00D73795" w:rsidRDefault="00D7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95F90" w:rsidTr="00FF5B0D">
      <w:tc>
        <w:tcPr>
          <w:tcW w:w="4788" w:type="dxa"/>
        </w:tcPr>
        <w:p w:rsidR="00495F90" w:rsidRDefault="00495F90" w:rsidP="00FF5B0D">
          <w:pPr>
            <w:pStyle w:val="Footer"/>
          </w:pPr>
          <w:r>
            <w:rPr>
              <w:noProof/>
            </w:rPr>
            <w:drawing>
              <wp:inline distT="0" distB="0" distL="0" distR="0" wp14:anchorId="73609979" wp14:editId="5BECA001">
                <wp:extent cx="2877312" cy="536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Footer F.jpg"/>
                        <pic:cNvPicPr/>
                      </pic:nvPicPr>
                      <pic:blipFill>
                        <a:blip r:embed="rId1">
                          <a:extLst>
                            <a:ext uri="{28A0092B-C50C-407E-A947-70E740481C1C}">
                              <a14:useLocalDpi xmlns:a14="http://schemas.microsoft.com/office/drawing/2010/main" val="0"/>
                            </a:ext>
                          </a:extLst>
                        </a:blip>
                        <a:stretch>
                          <a:fillRect/>
                        </a:stretch>
                      </pic:blipFill>
                      <pic:spPr>
                        <a:xfrm>
                          <a:off x="0" y="0"/>
                          <a:ext cx="2877312" cy="536448"/>
                        </a:xfrm>
                        <a:prstGeom prst="rect">
                          <a:avLst/>
                        </a:prstGeom>
                      </pic:spPr>
                    </pic:pic>
                  </a:graphicData>
                </a:graphic>
              </wp:inline>
            </w:drawing>
          </w:r>
        </w:p>
      </w:tc>
      <w:tc>
        <w:tcPr>
          <w:tcW w:w="4788" w:type="dxa"/>
          <w:vAlign w:val="center"/>
        </w:tcPr>
        <w:p w:rsidR="00495F90" w:rsidRDefault="00495F90" w:rsidP="00FF5B0D">
          <w:pPr>
            <w:pStyle w:val="Footer"/>
            <w:jc w:val="right"/>
          </w:pPr>
          <w:r>
            <w:fldChar w:fldCharType="begin"/>
          </w:r>
          <w:r>
            <w:instrText xml:space="preserve"> PAGE   \* MERGEFORMAT </w:instrText>
          </w:r>
          <w:r>
            <w:fldChar w:fldCharType="separate"/>
          </w:r>
          <w:r w:rsidR="000979EB">
            <w:rPr>
              <w:noProof/>
            </w:rPr>
            <w:t>5</w:t>
          </w:r>
          <w:r>
            <w:rPr>
              <w:noProof/>
            </w:rPr>
            <w:fldChar w:fldCharType="end"/>
          </w:r>
        </w:p>
      </w:tc>
    </w:tr>
  </w:tbl>
  <w:p w:rsidR="00C06492" w:rsidRDefault="000979EB" w:rsidP="00495F90">
    <w:pPr>
      <w:tabs>
        <w:tab w:val="center" w:pos="4680"/>
        <w:tab w:val="right" w:pos="936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95F90" w:rsidTr="00495F90">
      <w:tc>
        <w:tcPr>
          <w:tcW w:w="4788" w:type="dxa"/>
        </w:tcPr>
        <w:p w:rsidR="00C116A5" w:rsidRDefault="00495F90">
          <w:pPr>
            <w:pStyle w:val="Footer"/>
          </w:pPr>
          <w:r>
            <w:rPr>
              <w:noProof/>
            </w:rPr>
            <w:drawing>
              <wp:inline distT="0" distB="0" distL="0" distR="0" wp14:anchorId="789308BE" wp14:editId="3BC36127">
                <wp:extent cx="2877312" cy="5364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Footer F.jpg"/>
                        <pic:cNvPicPr/>
                      </pic:nvPicPr>
                      <pic:blipFill>
                        <a:blip r:embed="rId1">
                          <a:extLst>
                            <a:ext uri="{28A0092B-C50C-407E-A947-70E740481C1C}">
                              <a14:useLocalDpi xmlns:a14="http://schemas.microsoft.com/office/drawing/2010/main" val="0"/>
                            </a:ext>
                          </a:extLst>
                        </a:blip>
                        <a:stretch>
                          <a:fillRect/>
                        </a:stretch>
                      </pic:blipFill>
                      <pic:spPr>
                        <a:xfrm>
                          <a:off x="0" y="0"/>
                          <a:ext cx="2877312" cy="536448"/>
                        </a:xfrm>
                        <a:prstGeom prst="rect">
                          <a:avLst/>
                        </a:prstGeom>
                      </pic:spPr>
                    </pic:pic>
                  </a:graphicData>
                </a:graphic>
              </wp:inline>
            </w:drawing>
          </w:r>
        </w:p>
      </w:tc>
      <w:tc>
        <w:tcPr>
          <w:tcW w:w="4788" w:type="dxa"/>
          <w:vAlign w:val="center"/>
        </w:tcPr>
        <w:p w:rsidR="00495F90" w:rsidRDefault="00495F90" w:rsidP="00495F90">
          <w:pPr>
            <w:pStyle w:val="Footer"/>
            <w:jc w:val="right"/>
          </w:pPr>
          <w:r>
            <w:fldChar w:fldCharType="begin"/>
          </w:r>
          <w:r>
            <w:instrText xml:space="preserve"> PAGE   \* MERGEFORMAT </w:instrText>
          </w:r>
          <w:r>
            <w:fldChar w:fldCharType="separate"/>
          </w:r>
          <w:r w:rsidR="000979EB">
            <w:rPr>
              <w:noProof/>
            </w:rPr>
            <w:t>1</w:t>
          </w:r>
          <w:r>
            <w:rPr>
              <w:noProof/>
            </w:rPr>
            <w:fldChar w:fldCharType="end"/>
          </w:r>
        </w:p>
      </w:tc>
    </w:tr>
  </w:tbl>
  <w:p w:rsidR="00495F90" w:rsidRDefault="00495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95" w:rsidRDefault="00D73795">
      <w:pPr>
        <w:spacing w:after="0" w:line="240" w:lineRule="auto"/>
      </w:pPr>
      <w:r>
        <w:separator/>
      </w:r>
    </w:p>
  </w:footnote>
  <w:footnote w:type="continuationSeparator" w:id="0">
    <w:p w:rsidR="00D73795" w:rsidRDefault="00D73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DB" w:rsidRDefault="00E304E2">
    <w:pPr>
      <w:pStyle w:val="Header"/>
    </w:pPr>
    <w:r w:rsidRPr="00E304E2">
      <w:rPr>
        <w:rFonts w:ascii="Cambria" w:eastAsia="MS Mincho" w:hAnsi="Cambria" w:cs="Times New Roman"/>
        <w:noProof/>
        <w:color w:val="auto"/>
        <w:sz w:val="24"/>
        <w:szCs w:val="24"/>
      </w:rPr>
      <w:drawing>
        <wp:anchor distT="0" distB="0" distL="114300" distR="114300" simplePos="0" relativeHeight="251660288" behindDoc="1" locked="0" layoutInCell="1" allowOverlap="1" wp14:anchorId="6490D3A9" wp14:editId="2314E34C">
          <wp:simplePos x="0" y="0"/>
          <wp:positionH relativeFrom="column">
            <wp:posOffset>-926276</wp:posOffset>
          </wp:positionH>
          <wp:positionV relativeFrom="paragraph">
            <wp:posOffset>0</wp:posOffset>
          </wp:positionV>
          <wp:extent cx="7772400" cy="470001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Sub-pages 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7000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4E2" w:rsidRDefault="00E304E2">
    <w:pPr>
      <w:pStyle w:val="Header"/>
    </w:pPr>
    <w:r>
      <w:rPr>
        <w:noProof/>
      </w:rPr>
      <w:drawing>
        <wp:anchor distT="0" distB="0" distL="114300" distR="114300" simplePos="0" relativeHeight="251659264" behindDoc="1" locked="0" layoutInCell="1" allowOverlap="1" wp14:anchorId="1FC33988" wp14:editId="1F82D0DA">
          <wp:simplePos x="0" y="0"/>
          <wp:positionH relativeFrom="column">
            <wp:posOffset>-910815</wp:posOffset>
          </wp:positionH>
          <wp:positionV relativeFrom="paragraph">
            <wp:posOffset>-11949</wp:posOffset>
          </wp:positionV>
          <wp:extent cx="7790180" cy="495427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 E.jpg"/>
                  <pic:cNvPicPr/>
                </pic:nvPicPr>
                <pic:blipFill>
                  <a:blip r:embed="rId1">
                    <a:extLst>
                      <a:ext uri="{28A0092B-C50C-407E-A947-70E740481C1C}">
                        <a14:useLocalDpi xmlns:a14="http://schemas.microsoft.com/office/drawing/2010/main" val="0"/>
                      </a:ext>
                    </a:extLst>
                  </a:blip>
                  <a:stretch>
                    <a:fillRect/>
                  </a:stretch>
                </pic:blipFill>
                <pic:spPr>
                  <a:xfrm>
                    <a:off x="0" y="0"/>
                    <a:ext cx="7790180" cy="4954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ECF"/>
    <w:multiLevelType w:val="hybridMultilevel"/>
    <w:tmpl w:val="B1022AFA"/>
    <w:lvl w:ilvl="0" w:tplc="8D683374">
      <w:start w:val="1"/>
      <w:numFmt w:val="decimal"/>
      <w:lvlText w:val="%1."/>
      <w:lvlJc w:val="left"/>
      <w:pPr>
        <w:ind w:left="765" w:hanging="360"/>
      </w:pPr>
      <w:rPr>
        <w:rFonts w:hint="default"/>
      </w:rPr>
    </w:lvl>
    <w:lvl w:ilvl="1" w:tplc="5F7C9202" w:tentative="1">
      <w:start w:val="1"/>
      <w:numFmt w:val="bullet"/>
      <w:lvlText w:val="o"/>
      <w:lvlJc w:val="left"/>
      <w:pPr>
        <w:ind w:left="1485" w:hanging="360"/>
      </w:pPr>
      <w:rPr>
        <w:rFonts w:ascii="Courier New" w:hAnsi="Courier New" w:cs="Courier New" w:hint="default"/>
      </w:rPr>
    </w:lvl>
    <w:lvl w:ilvl="2" w:tplc="C4940A0C" w:tentative="1">
      <w:start w:val="1"/>
      <w:numFmt w:val="bullet"/>
      <w:lvlText w:val=""/>
      <w:lvlJc w:val="left"/>
      <w:pPr>
        <w:ind w:left="2205" w:hanging="360"/>
      </w:pPr>
      <w:rPr>
        <w:rFonts w:ascii="Wingdings" w:hAnsi="Wingdings" w:hint="default"/>
      </w:rPr>
    </w:lvl>
    <w:lvl w:ilvl="3" w:tplc="D1DA1E7A" w:tentative="1">
      <w:start w:val="1"/>
      <w:numFmt w:val="bullet"/>
      <w:lvlText w:val=""/>
      <w:lvlJc w:val="left"/>
      <w:pPr>
        <w:ind w:left="2925" w:hanging="360"/>
      </w:pPr>
      <w:rPr>
        <w:rFonts w:ascii="Symbol" w:hAnsi="Symbol" w:hint="default"/>
      </w:rPr>
    </w:lvl>
    <w:lvl w:ilvl="4" w:tplc="9FFABD42" w:tentative="1">
      <w:start w:val="1"/>
      <w:numFmt w:val="bullet"/>
      <w:lvlText w:val="o"/>
      <w:lvlJc w:val="left"/>
      <w:pPr>
        <w:ind w:left="3645" w:hanging="360"/>
      </w:pPr>
      <w:rPr>
        <w:rFonts w:ascii="Courier New" w:hAnsi="Courier New" w:cs="Courier New" w:hint="default"/>
      </w:rPr>
    </w:lvl>
    <w:lvl w:ilvl="5" w:tplc="2B781E52" w:tentative="1">
      <w:start w:val="1"/>
      <w:numFmt w:val="bullet"/>
      <w:lvlText w:val=""/>
      <w:lvlJc w:val="left"/>
      <w:pPr>
        <w:ind w:left="4365" w:hanging="360"/>
      </w:pPr>
      <w:rPr>
        <w:rFonts w:ascii="Wingdings" w:hAnsi="Wingdings" w:hint="default"/>
      </w:rPr>
    </w:lvl>
    <w:lvl w:ilvl="6" w:tplc="953CAFAC" w:tentative="1">
      <w:start w:val="1"/>
      <w:numFmt w:val="bullet"/>
      <w:lvlText w:val=""/>
      <w:lvlJc w:val="left"/>
      <w:pPr>
        <w:ind w:left="5085" w:hanging="360"/>
      </w:pPr>
      <w:rPr>
        <w:rFonts w:ascii="Symbol" w:hAnsi="Symbol" w:hint="default"/>
      </w:rPr>
    </w:lvl>
    <w:lvl w:ilvl="7" w:tplc="F27AFBFC" w:tentative="1">
      <w:start w:val="1"/>
      <w:numFmt w:val="bullet"/>
      <w:lvlText w:val="o"/>
      <w:lvlJc w:val="left"/>
      <w:pPr>
        <w:ind w:left="5805" w:hanging="360"/>
      </w:pPr>
      <w:rPr>
        <w:rFonts w:ascii="Courier New" w:hAnsi="Courier New" w:cs="Courier New" w:hint="default"/>
      </w:rPr>
    </w:lvl>
    <w:lvl w:ilvl="8" w:tplc="A6D0ED16" w:tentative="1">
      <w:start w:val="1"/>
      <w:numFmt w:val="bullet"/>
      <w:lvlText w:val=""/>
      <w:lvlJc w:val="left"/>
      <w:pPr>
        <w:ind w:left="6525" w:hanging="360"/>
      </w:pPr>
      <w:rPr>
        <w:rFonts w:ascii="Wingdings" w:hAnsi="Wingdings" w:hint="default"/>
      </w:rPr>
    </w:lvl>
  </w:abstractNum>
  <w:abstractNum w:abstractNumId="1">
    <w:nsid w:val="0F7D5A6B"/>
    <w:multiLevelType w:val="hybridMultilevel"/>
    <w:tmpl w:val="B1022AFA"/>
    <w:lvl w:ilvl="0" w:tplc="06BEEC66">
      <w:start w:val="1"/>
      <w:numFmt w:val="decimal"/>
      <w:lvlText w:val="%1."/>
      <w:lvlJc w:val="left"/>
      <w:pPr>
        <w:ind w:left="765" w:hanging="360"/>
      </w:pPr>
      <w:rPr>
        <w:rFonts w:hint="default"/>
      </w:rPr>
    </w:lvl>
    <w:lvl w:ilvl="1" w:tplc="C810AD2E" w:tentative="1">
      <w:start w:val="1"/>
      <w:numFmt w:val="bullet"/>
      <w:lvlText w:val="o"/>
      <w:lvlJc w:val="left"/>
      <w:pPr>
        <w:ind w:left="1485" w:hanging="360"/>
      </w:pPr>
      <w:rPr>
        <w:rFonts w:ascii="Courier New" w:hAnsi="Courier New" w:cs="Courier New" w:hint="default"/>
      </w:rPr>
    </w:lvl>
    <w:lvl w:ilvl="2" w:tplc="45C4DCA4" w:tentative="1">
      <w:start w:val="1"/>
      <w:numFmt w:val="bullet"/>
      <w:lvlText w:val=""/>
      <w:lvlJc w:val="left"/>
      <w:pPr>
        <w:ind w:left="2205" w:hanging="360"/>
      </w:pPr>
      <w:rPr>
        <w:rFonts w:ascii="Wingdings" w:hAnsi="Wingdings" w:hint="default"/>
      </w:rPr>
    </w:lvl>
    <w:lvl w:ilvl="3" w:tplc="1B4CA480" w:tentative="1">
      <w:start w:val="1"/>
      <w:numFmt w:val="bullet"/>
      <w:lvlText w:val=""/>
      <w:lvlJc w:val="left"/>
      <w:pPr>
        <w:ind w:left="2925" w:hanging="360"/>
      </w:pPr>
      <w:rPr>
        <w:rFonts w:ascii="Symbol" w:hAnsi="Symbol" w:hint="default"/>
      </w:rPr>
    </w:lvl>
    <w:lvl w:ilvl="4" w:tplc="7502656A" w:tentative="1">
      <w:start w:val="1"/>
      <w:numFmt w:val="bullet"/>
      <w:lvlText w:val="o"/>
      <w:lvlJc w:val="left"/>
      <w:pPr>
        <w:ind w:left="3645" w:hanging="360"/>
      </w:pPr>
      <w:rPr>
        <w:rFonts w:ascii="Courier New" w:hAnsi="Courier New" w:cs="Courier New" w:hint="default"/>
      </w:rPr>
    </w:lvl>
    <w:lvl w:ilvl="5" w:tplc="0676199A" w:tentative="1">
      <w:start w:val="1"/>
      <w:numFmt w:val="bullet"/>
      <w:lvlText w:val=""/>
      <w:lvlJc w:val="left"/>
      <w:pPr>
        <w:ind w:left="4365" w:hanging="360"/>
      </w:pPr>
      <w:rPr>
        <w:rFonts w:ascii="Wingdings" w:hAnsi="Wingdings" w:hint="default"/>
      </w:rPr>
    </w:lvl>
    <w:lvl w:ilvl="6" w:tplc="8A1605E0" w:tentative="1">
      <w:start w:val="1"/>
      <w:numFmt w:val="bullet"/>
      <w:lvlText w:val=""/>
      <w:lvlJc w:val="left"/>
      <w:pPr>
        <w:ind w:left="5085" w:hanging="360"/>
      </w:pPr>
      <w:rPr>
        <w:rFonts w:ascii="Symbol" w:hAnsi="Symbol" w:hint="default"/>
      </w:rPr>
    </w:lvl>
    <w:lvl w:ilvl="7" w:tplc="C806111A" w:tentative="1">
      <w:start w:val="1"/>
      <w:numFmt w:val="bullet"/>
      <w:lvlText w:val="o"/>
      <w:lvlJc w:val="left"/>
      <w:pPr>
        <w:ind w:left="5805" w:hanging="360"/>
      </w:pPr>
      <w:rPr>
        <w:rFonts w:ascii="Courier New" w:hAnsi="Courier New" w:cs="Courier New" w:hint="default"/>
      </w:rPr>
    </w:lvl>
    <w:lvl w:ilvl="8" w:tplc="6D280A68" w:tentative="1">
      <w:start w:val="1"/>
      <w:numFmt w:val="bullet"/>
      <w:lvlText w:val=""/>
      <w:lvlJc w:val="left"/>
      <w:pPr>
        <w:ind w:left="6525" w:hanging="360"/>
      </w:pPr>
      <w:rPr>
        <w:rFonts w:ascii="Wingdings" w:hAnsi="Wingdings" w:hint="default"/>
      </w:rPr>
    </w:lvl>
  </w:abstractNum>
  <w:abstractNum w:abstractNumId="2">
    <w:nsid w:val="12BD0B23"/>
    <w:multiLevelType w:val="hybridMultilevel"/>
    <w:tmpl w:val="DA82484E"/>
    <w:lvl w:ilvl="0" w:tplc="3DC03CE8">
      <w:start w:val="1"/>
      <w:numFmt w:val="decimal"/>
      <w:lvlText w:val="%1."/>
      <w:lvlJc w:val="left"/>
      <w:pPr>
        <w:ind w:left="720" w:hanging="360"/>
      </w:pPr>
    </w:lvl>
    <w:lvl w:ilvl="1" w:tplc="ED3A6B86" w:tentative="1">
      <w:start w:val="1"/>
      <w:numFmt w:val="lowerLetter"/>
      <w:lvlText w:val="%2."/>
      <w:lvlJc w:val="left"/>
      <w:pPr>
        <w:ind w:left="1440" w:hanging="360"/>
      </w:pPr>
    </w:lvl>
    <w:lvl w:ilvl="2" w:tplc="83DAE666" w:tentative="1">
      <w:start w:val="1"/>
      <w:numFmt w:val="lowerRoman"/>
      <w:lvlText w:val="%3."/>
      <w:lvlJc w:val="right"/>
      <w:pPr>
        <w:ind w:left="2160" w:hanging="180"/>
      </w:pPr>
    </w:lvl>
    <w:lvl w:ilvl="3" w:tplc="777C378C" w:tentative="1">
      <w:start w:val="1"/>
      <w:numFmt w:val="decimal"/>
      <w:lvlText w:val="%4."/>
      <w:lvlJc w:val="left"/>
      <w:pPr>
        <w:ind w:left="2880" w:hanging="360"/>
      </w:pPr>
    </w:lvl>
    <w:lvl w:ilvl="4" w:tplc="6218898E" w:tentative="1">
      <w:start w:val="1"/>
      <w:numFmt w:val="lowerLetter"/>
      <w:lvlText w:val="%5."/>
      <w:lvlJc w:val="left"/>
      <w:pPr>
        <w:ind w:left="3600" w:hanging="360"/>
      </w:pPr>
    </w:lvl>
    <w:lvl w:ilvl="5" w:tplc="6F2C6954" w:tentative="1">
      <w:start w:val="1"/>
      <w:numFmt w:val="lowerRoman"/>
      <w:lvlText w:val="%6."/>
      <w:lvlJc w:val="right"/>
      <w:pPr>
        <w:ind w:left="4320" w:hanging="180"/>
      </w:pPr>
    </w:lvl>
    <w:lvl w:ilvl="6" w:tplc="41D02754" w:tentative="1">
      <w:start w:val="1"/>
      <w:numFmt w:val="decimal"/>
      <w:lvlText w:val="%7."/>
      <w:lvlJc w:val="left"/>
      <w:pPr>
        <w:ind w:left="5040" w:hanging="360"/>
      </w:pPr>
    </w:lvl>
    <w:lvl w:ilvl="7" w:tplc="42E2507C" w:tentative="1">
      <w:start w:val="1"/>
      <w:numFmt w:val="lowerLetter"/>
      <w:lvlText w:val="%8."/>
      <w:lvlJc w:val="left"/>
      <w:pPr>
        <w:ind w:left="5760" w:hanging="360"/>
      </w:pPr>
    </w:lvl>
    <w:lvl w:ilvl="8" w:tplc="3BA6B342" w:tentative="1">
      <w:start w:val="1"/>
      <w:numFmt w:val="lowerRoman"/>
      <w:lvlText w:val="%9."/>
      <w:lvlJc w:val="right"/>
      <w:pPr>
        <w:ind w:left="6480" w:hanging="180"/>
      </w:pPr>
    </w:lvl>
  </w:abstractNum>
  <w:abstractNum w:abstractNumId="3">
    <w:nsid w:val="20BA3284"/>
    <w:multiLevelType w:val="hybridMultilevel"/>
    <w:tmpl w:val="3ACC10D2"/>
    <w:lvl w:ilvl="0" w:tplc="DF54372E">
      <w:start w:val="1"/>
      <w:numFmt w:val="bullet"/>
      <w:lvlText w:val=""/>
      <w:lvlJc w:val="left"/>
      <w:pPr>
        <w:ind w:left="720" w:hanging="360"/>
      </w:pPr>
      <w:rPr>
        <w:rFonts w:ascii="Symbol" w:hAnsi="Symbol" w:hint="default"/>
      </w:rPr>
    </w:lvl>
    <w:lvl w:ilvl="1" w:tplc="53706D5A" w:tentative="1">
      <w:start w:val="1"/>
      <w:numFmt w:val="bullet"/>
      <w:lvlText w:val="o"/>
      <w:lvlJc w:val="left"/>
      <w:pPr>
        <w:ind w:left="1440" w:hanging="360"/>
      </w:pPr>
      <w:rPr>
        <w:rFonts w:ascii="Courier New" w:hAnsi="Courier New" w:cs="Courier New" w:hint="default"/>
      </w:rPr>
    </w:lvl>
    <w:lvl w:ilvl="2" w:tplc="B382F4C0" w:tentative="1">
      <w:start w:val="1"/>
      <w:numFmt w:val="bullet"/>
      <w:lvlText w:val=""/>
      <w:lvlJc w:val="left"/>
      <w:pPr>
        <w:ind w:left="2160" w:hanging="360"/>
      </w:pPr>
      <w:rPr>
        <w:rFonts w:ascii="Wingdings" w:hAnsi="Wingdings" w:hint="default"/>
      </w:rPr>
    </w:lvl>
    <w:lvl w:ilvl="3" w:tplc="0C76766C" w:tentative="1">
      <w:start w:val="1"/>
      <w:numFmt w:val="bullet"/>
      <w:lvlText w:val=""/>
      <w:lvlJc w:val="left"/>
      <w:pPr>
        <w:ind w:left="2880" w:hanging="360"/>
      </w:pPr>
      <w:rPr>
        <w:rFonts w:ascii="Symbol" w:hAnsi="Symbol" w:hint="default"/>
      </w:rPr>
    </w:lvl>
    <w:lvl w:ilvl="4" w:tplc="998AE5AE" w:tentative="1">
      <w:start w:val="1"/>
      <w:numFmt w:val="bullet"/>
      <w:lvlText w:val="o"/>
      <w:lvlJc w:val="left"/>
      <w:pPr>
        <w:ind w:left="3600" w:hanging="360"/>
      </w:pPr>
      <w:rPr>
        <w:rFonts w:ascii="Courier New" w:hAnsi="Courier New" w:cs="Courier New" w:hint="default"/>
      </w:rPr>
    </w:lvl>
    <w:lvl w:ilvl="5" w:tplc="D3C02DB2" w:tentative="1">
      <w:start w:val="1"/>
      <w:numFmt w:val="bullet"/>
      <w:lvlText w:val=""/>
      <w:lvlJc w:val="left"/>
      <w:pPr>
        <w:ind w:left="4320" w:hanging="360"/>
      </w:pPr>
      <w:rPr>
        <w:rFonts w:ascii="Wingdings" w:hAnsi="Wingdings" w:hint="default"/>
      </w:rPr>
    </w:lvl>
    <w:lvl w:ilvl="6" w:tplc="6F2C4CA2" w:tentative="1">
      <w:start w:val="1"/>
      <w:numFmt w:val="bullet"/>
      <w:lvlText w:val=""/>
      <w:lvlJc w:val="left"/>
      <w:pPr>
        <w:ind w:left="5040" w:hanging="360"/>
      </w:pPr>
      <w:rPr>
        <w:rFonts w:ascii="Symbol" w:hAnsi="Symbol" w:hint="default"/>
      </w:rPr>
    </w:lvl>
    <w:lvl w:ilvl="7" w:tplc="4F58614A" w:tentative="1">
      <w:start w:val="1"/>
      <w:numFmt w:val="bullet"/>
      <w:lvlText w:val="o"/>
      <w:lvlJc w:val="left"/>
      <w:pPr>
        <w:ind w:left="5760" w:hanging="360"/>
      </w:pPr>
      <w:rPr>
        <w:rFonts w:ascii="Courier New" w:hAnsi="Courier New" w:cs="Courier New" w:hint="default"/>
      </w:rPr>
    </w:lvl>
    <w:lvl w:ilvl="8" w:tplc="AF18E27C" w:tentative="1">
      <w:start w:val="1"/>
      <w:numFmt w:val="bullet"/>
      <w:lvlText w:val=""/>
      <w:lvlJc w:val="left"/>
      <w:pPr>
        <w:ind w:left="6480" w:hanging="360"/>
      </w:pPr>
      <w:rPr>
        <w:rFonts w:ascii="Wingdings" w:hAnsi="Wingdings" w:hint="default"/>
      </w:rPr>
    </w:lvl>
  </w:abstractNum>
  <w:abstractNum w:abstractNumId="4">
    <w:nsid w:val="23AB06B4"/>
    <w:multiLevelType w:val="hybridMultilevel"/>
    <w:tmpl w:val="A7F4EDD2"/>
    <w:lvl w:ilvl="0" w:tplc="66BA4644">
      <w:start w:val="1"/>
      <w:numFmt w:val="decimal"/>
      <w:lvlText w:val="%1."/>
      <w:lvlJc w:val="left"/>
      <w:pPr>
        <w:ind w:left="720" w:hanging="360"/>
      </w:pPr>
    </w:lvl>
    <w:lvl w:ilvl="1" w:tplc="17988A6C" w:tentative="1">
      <w:start w:val="1"/>
      <w:numFmt w:val="lowerLetter"/>
      <w:lvlText w:val="%2."/>
      <w:lvlJc w:val="left"/>
      <w:pPr>
        <w:ind w:left="1440" w:hanging="360"/>
      </w:pPr>
    </w:lvl>
    <w:lvl w:ilvl="2" w:tplc="C6C2A04C" w:tentative="1">
      <w:start w:val="1"/>
      <w:numFmt w:val="lowerRoman"/>
      <w:lvlText w:val="%3."/>
      <w:lvlJc w:val="right"/>
      <w:pPr>
        <w:ind w:left="2160" w:hanging="180"/>
      </w:pPr>
    </w:lvl>
    <w:lvl w:ilvl="3" w:tplc="180ABFFC" w:tentative="1">
      <w:start w:val="1"/>
      <w:numFmt w:val="decimal"/>
      <w:lvlText w:val="%4."/>
      <w:lvlJc w:val="left"/>
      <w:pPr>
        <w:ind w:left="2880" w:hanging="360"/>
      </w:pPr>
    </w:lvl>
    <w:lvl w:ilvl="4" w:tplc="CD6C41DA" w:tentative="1">
      <w:start w:val="1"/>
      <w:numFmt w:val="lowerLetter"/>
      <w:lvlText w:val="%5."/>
      <w:lvlJc w:val="left"/>
      <w:pPr>
        <w:ind w:left="3600" w:hanging="360"/>
      </w:pPr>
    </w:lvl>
    <w:lvl w:ilvl="5" w:tplc="B85ACA5A" w:tentative="1">
      <w:start w:val="1"/>
      <w:numFmt w:val="lowerRoman"/>
      <w:lvlText w:val="%6."/>
      <w:lvlJc w:val="right"/>
      <w:pPr>
        <w:ind w:left="4320" w:hanging="180"/>
      </w:pPr>
    </w:lvl>
    <w:lvl w:ilvl="6" w:tplc="6FDA61C2" w:tentative="1">
      <w:start w:val="1"/>
      <w:numFmt w:val="decimal"/>
      <w:lvlText w:val="%7."/>
      <w:lvlJc w:val="left"/>
      <w:pPr>
        <w:ind w:left="5040" w:hanging="360"/>
      </w:pPr>
    </w:lvl>
    <w:lvl w:ilvl="7" w:tplc="BE52FA76" w:tentative="1">
      <w:start w:val="1"/>
      <w:numFmt w:val="lowerLetter"/>
      <w:lvlText w:val="%8."/>
      <w:lvlJc w:val="left"/>
      <w:pPr>
        <w:ind w:left="5760" w:hanging="360"/>
      </w:pPr>
    </w:lvl>
    <w:lvl w:ilvl="8" w:tplc="2716FAEC" w:tentative="1">
      <w:start w:val="1"/>
      <w:numFmt w:val="lowerRoman"/>
      <w:lvlText w:val="%9."/>
      <w:lvlJc w:val="right"/>
      <w:pPr>
        <w:ind w:left="6480" w:hanging="180"/>
      </w:pPr>
    </w:lvl>
  </w:abstractNum>
  <w:abstractNum w:abstractNumId="5">
    <w:nsid w:val="3C3F0763"/>
    <w:multiLevelType w:val="hybridMultilevel"/>
    <w:tmpl w:val="E8E6671E"/>
    <w:lvl w:ilvl="0" w:tplc="A566E332">
      <w:start w:val="1"/>
      <w:numFmt w:val="bullet"/>
      <w:lvlText w:val=""/>
      <w:lvlJc w:val="left"/>
      <w:pPr>
        <w:ind w:left="765" w:hanging="360"/>
      </w:pPr>
      <w:rPr>
        <w:rFonts w:ascii="Symbol" w:hAnsi="Symbol" w:hint="default"/>
      </w:rPr>
    </w:lvl>
    <w:lvl w:ilvl="1" w:tplc="74C06718">
      <w:start w:val="1"/>
      <w:numFmt w:val="bullet"/>
      <w:lvlText w:val="o"/>
      <w:lvlJc w:val="left"/>
      <w:pPr>
        <w:ind w:left="1485" w:hanging="360"/>
      </w:pPr>
      <w:rPr>
        <w:rFonts w:ascii="Courier New" w:hAnsi="Courier New" w:cs="Courier New" w:hint="default"/>
      </w:rPr>
    </w:lvl>
    <w:lvl w:ilvl="2" w:tplc="93D27448" w:tentative="1">
      <w:start w:val="1"/>
      <w:numFmt w:val="bullet"/>
      <w:lvlText w:val=""/>
      <w:lvlJc w:val="left"/>
      <w:pPr>
        <w:ind w:left="2205" w:hanging="360"/>
      </w:pPr>
      <w:rPr>
        <w:rFonts w:ascii="Wingdings" w:hAnsi="Wingdings" w:hint="default"/>
      </w:rPr>
    </w:lvl>
    <w:lvl w:ilvl="3" w:tplc="5522950A" w:tentative="1">
      <w:start w:val="1"/>
      <w:numFmt w:val="bullet"/>
      <w:lvlText w:val=""/>
      <w:lvlJc w:val="left"/>
      <w:pPr>
        <w:ind w:left="2925" w:hanging="360"/>
      </w:pPr>
      <w:rPr>
        <w:rFonts w:ascii="Symbol" w:hAnsi="Symbol" w:hint="default"/>
      </w:rPr>
    </w:lvl>
    <w:lvl w:ilvl="4" w:tplc="19EE1AB4" w:tentative="1">
      <w:start w:val="1"/>
      <w:numFmt w:val="bullet"/>
      <w:lvlText w:val="o"/>
      <w:lvlJc w:val="left"/>
      <w:pPr>
        <w:ind w:left="3645" w:hanging="360"/>
      </w:pPr>
      <w:rPr>
        <w:rFonts w:ascii="Courier New" w:hAnsi="Courier New" w:cs="Courier New" w:hint="default"/>
      </w:rPr>
    </w:lvl>
    <w:lvl w:ilvl="5" w:tplc="D0CA7832" w:tentative="1">
      <w:start w:val="1"/>
      <w:numFmt w:val="bullet"/>
      <w:lvlText w:val=""/>
      <w:lvlJc w:val="left"/>
      <w:pPr>
        <w:ind w:left="4365" w:hanging="360"/>
      </w:pPr>
      <w:rPr>
        <w:rFonts w:ascii="Wingdings" w:hAnsi="Wingdings" w:hint="default"/>
      </w:rPr>
    </w:lvl>
    <w:lvl w:ilvl="6" w:tplc="8EC0D64E" w:tentative="1">
      <w:start w:val="1"/>
      <w:numFmt w:val="bullet"/>
      <w:lvlText w:val=""/>
      <w:lvlJc w:val="left"/>
      <w:pPr>
        <w:ind w:left="5085" w:hanging="360"/>
      </w:pPr>
      <w:rPr>
        <w:rFonts w:ascii="Symbol" w:hAnsi="Symbol" w:hint="default"/>
      </w:rPr>
    </w:lvl>
    <w:lvl w:ilvl="7" w:tplc="15CEE728" w:tentative="1">
      <w:start w:val="1"/>
      <w:numFmt w:val="bullet"/>
      <w:lvlText w:val="o"/>
      <w:lvlJc w:val="left"/>
      <w:pPr>
        <w:ind w:left="5805" w:hanging="360"/>
      </w:pPr>
      <w:rPr>
        <w:rFonts w:ascii="Courier New" w:hAnsi="Courier New" w:cs="Courier New" w:hint="default"/>
      </w:rPr>
    </w:lvl>
    <w:lvl w:ilvl="8" w:tplc="697AD7AC" w:tentative="1">
      <w:start w:val="1"/>
      <w:numFmt w:val="bullet"/>
      <w:lvlText w:val=""/>
      <w:lvlJc w:val="left"/>
      <w:pPr>
        <w:ind w:left="6525" w:hanging="360"/>
      </w:pPr>
      <w:rPr>
        <w:rFonts w:ascii="Wingdings" w:hAnsi="Wingdings" w:hint="default"/>
      </w:rPr>
    </w:lvl>
  </w:abstractNum>
  <w:abstractNum w:abstractNumId="6">
    <w:nsid w:val="500E73D7"/>
    <w:multiLevelType w:val="hybridMultilevel"/>
    <w:tmpl w:val="8F76349C"/>
    <w:lvl w:ilvl="0" w:tplc="660660C2">
      <w:start w:val="1"/>
      <w:numFmt w:val="decimal"/>
      <w:lvlText w:val="%1."/>
      <w:lvlJc w:val="left"/>
      <w:pPr>
        <w:ind w:left="720" w:hanging="360"/>
      </w:pPr>
    </w:lvl>
    <w:lvl w:ilvl="1" w:tplc="57408AB0" w:tentative="1">
      <w:start w:val="1"/>
      <w:numFmt w:val="lowerLetter"/>
      <w:lvlText w:val="%2."/>
      <w:lvlJc w:val="left"/>
      <w:pPr>
        <w:ind w:left="1440" w:hanging="360"/>
      </w:pPr>
    </w:lvl>
    <w:lvl w:ilvl="2" w:tplc="E78CA5A2" w:tentative="1">
      <w:start w:val="1"/>
      <w:numFmt w:val="lowerRoman"/>
      <w:lvlText w:val="%3."/>
      <w:lvlJc w:val="right"/>
      <w:pPr>
        <w:ind w:left="2160" w:hanging="180"/>
      </w:pPr>
    </w:lvl>
    <w:lvl w:ilvl="3" w:tplc="D688CA32" w:tentative="1">
      <w:start w:val="1"/>
      <w:numFmt w:val="decimal"/>
      <w:lvlText w:val="%4."/>
      <w:lvlJc w:val="left"/>
      <w:pPr>
        <w:ind w:left="2880" w:hanging="360"/>
      </w:pPr>
    </w:lvl>
    <w:lvl w:ilvl="4" w:tplc="67EEA672" w:tentative="1">
      <w:start w:val="1"/>
      <w:numFmt w:val="lowerLetter"/>
      <w:lvlText w:val="%5."/>
      <w:lvlJc w:val="left"/>
      <w:pPr>
        <w:ind w:left="3600" w:hanging="360"/>
      </w:pPr>
    </w:lvl>
    <w:lvl w:ilvl="5" w:tplc="D23AA110" w:tentative="1">
      <w:start w:val="1"/>
      <w:numFmt w:val="lowerRoman"/>
      <w:lvlText w:val="%6."/>
      <w:lvlJc w:val="right"/>
      <w:pPr>
        <w:ind w:left="4320" w:hanging="180"/>
      </w:pPr>
    </w:lvl>
    <w:lvl w:ilvl="6" w:tplc="59CC5C5E" w:tentative="1">
      <w:start w:val="1"/>
      <w:numFmt w:val="decimal"/>
      <w:lvlText w:val="%7."/>
      <w:lvlJc w:val="left"/>
      <w:pPr>
        <w:ind w:left="5040" w:hanging="360"/>
      </w:pPr>
    </w:lvl>
    <w:lvl w:ilvl="7" w:tplc="1C0EA51C" w:tentative="1">
      <w:start w:val="1"/>
      <w:numFmt w:val="lowerLetter"/>
      <w:lvlText w:val="%8."/>
      <w:lvlJc w:val="left"/>
      <w:pPr>
        <w:ind w:left="5760" w:hanging="360"/>
      </w:pPr>
    </w:lvl>
    <w:lvl w:ilvl="8" w:tplc="BF443D12"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4D"/>
    <w:rsid w:val="000979EB"/>
    <w:rsid w:val="001C372C"/>
    <w:rsid w:val="003366CD"/>
    <w:rsid w:val="00376992"/>
    <w:rsid w:val="003C68BE"/>
    <w:rsid w:val="00495F90"/>
    <w:rsid w:val="005E54F0"/>
    <w:rsid w:val="005F740E"/>
    <w:rsid w:val="009608F7"/>
    <w:rsid w:val="00B3386F"/>
    <w:rsid w:val="00B57ADB"/>
    <w:rsid w:val="00C116A5"/>
    <w:rsid w:val="00D73795"/>
    <w:rsid w:val="00E304E2"/>
    <w:rsid w:val="00E81B50"/>
    <w:rsid w:val="00F8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5B5B5B"/>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7A7A7A"/>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7A7A7A"/>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table" w:customStyle="1" w:styleId="a2">
    <w:name w:val="a2"/>
    <w:basedOn w:val="TableNormal"/>
    <w:tblPr>
      <w:tblStyleRowBandSize w:val="1"/>
      <w:tblStyleColBandSize w:val="1"/>
    </w:tblPr>
  </w:style>
  <w:style w:type="table" w:customStyle="1" w:styleId="a3">
    <w:name w:val="a3"/>
    <w:basedOn w:val="TableNormal"/>
    <w:tblPr>
      <w:tblStyleRowBandSize w:val="1"/>
      <w:tblStyleColBandSize w:val="1"/>
    </w:tblPr>
  </w:style>
  <w:style w:type="table" w:customStyle="1" w:styleId="a4">
    <w:name w:val="a4"/>
    <w:basedOn w:val="TableNormal"/>
    <w:tblPr>
      <w:tblStyleRowBandSize w:val="1"/>
      <w:tblStyleColBandSize w:val="1"/>
    </w:tblPr>
  </w:style>
  <w:style w:type="table" w:customStyle="1" w:styleId="a5">
    <w:name w:val="a5"/>
    <w:basedOn w:val="TableNormal"/>
    <w:tblPr>
      <w:tblStyleRowBandSize w:val="1"/>
      <w:tblStyleColBandSize w:val="1"/>
    </w:tblPr>
  </w:style>
  <w:style w:type="table" w:customStyle="1" w:styleId="a6">
    <w:name w:val="a6"/>
    <w:basedOn w:val="TableNormal"/>
    <w:tblPr>
      <w:tblStyleRowBandSize w:val="1"/>
      <w:tblStyleColBandSize w:val="1"/>
    </w:tblPr>
  </w:style>
  <w:style w:type="paragraph" w:styleId="BalloonText">
    <w:name w:val="Balloon Text"/>
    <w:basedOn w:val="Normal"/>
    <w:link w:val="BalloonTextChar"/>
    <w:uiPriority w:val="99"/>
    <w:semiHidden/>
    <w:unhideWhenUsed/>
    <w:rsid w:val="00177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93A"/>
    <w:rPr>
      <w:rFonts w:ascii="Tahoma" w:hAnsi="Tahoma" w:cs="Tahoma"/>
      <w:sz w:val="16"/>
      <w:szCs w:val="16"/>
    </w:rPr>
  </w:style>
  <w:style w:type="table" w:styleId="TableGrid">
    <w:name w:val="Table Grid"/>
    <w:basedOn w:val="TableNormal"/>
    <w:uiPriority w:val="59"/>
    <w:rsid w:val="00BA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BA51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4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57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57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B9" w:themeFill="accent5" w:themeFillTint="7F"/>
      </w:tcPr>
    </w:tblStylePr>
  </w:style>
  <w:style w:type="table" w:styleId="LightShading-Accent5">
    <w:name w:val="Light Shading Accent 5"/>
    <w:basedOn w:val="TableNormal"/>
    <w:uiPriority w:val="60"/>
    <w:rsid w:val="00BA51C4"/>
    <w:pPr>
      <w:spacing w:after="0" w:line="240" w:lineRule="auto"/>
    </w:pPr>
    <w:rPr>
      <w:color w:val="7B7053" w:themeColor="accent5" w:themeShade="BF"/>
    </w:rPr>
    <w:tblPr>
      <w:tblStyleRowBandSize w:val="1"/>
      <w:tblStyleColBandSize w:val="1"/>
      <w:tblBorders>
        <w:top w:val="single" w:sz="8" w:space="0" w:color="A19574" w:themeColor="accent5"/>
        <w:bottom w:val="single" w:sz="8" w:space="0" w:color="A19574" w:themeColor="accent5"/>
      </w:tblBorders>
    </w:tblPr>
    <w:tblStylePr w:type="fir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la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left w:val="nil"/>
          <w:right w:val="nil"/>
          <w:insideH w:val="nil"/>
          <w:insideV w:val="nil"/>
        </w:tcBorders>
        <w:shd w:val="clear" w:color="auto" w:fill="E7E4DC" w:themeFill="accent5" w:themeFillTint="3F"/>
      </w:tcPr>
    </w:tblStylePr>
  </w:style>
  <w:style w:type="table" w:styleId="LightList-Accent5">
    <w:name w:val="Light List Accent 5"/>
    <w:basedOn w:val="TableNormal"/>
    <w:uiPriority w:val="61"/>
    <w:rsid w:val="00BA51C4"/>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blStylePr w:type="firstRow">
      <w:pPr>
        <w:spacing w:before="0" w:after="0" w:line="240" w:lineRule="auto"/>
      </w:pPr>
      <w:rPr>
        <w:b/>
        <w:bCs/>
        <w:color w:val="FFFFFF" w:themeColor="background1"/>
      </w:rPr>
      <w:tblPr/>
      <w:tcPr>
        <w:shd w:val="clear" w:color="auto" w:fill="A19574" w:themeFill="accent5"/>
      </w:tcPr>
    </w:tblStylePr>
    <w:tblStylePr w:type="lastRow">
      <w:pPr>
        <w:spacing w:before="0" w:after="0" w:line="240" w:lineRule="auto"/>
      </w:pPr>
      <w:rPr>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tcBorders>
      </w:tcPr>
    </w:tblStylePr>
    <w:tblStylePr w:type="firstCol">
      <w:rPr>
        <w:b/>
        <w:bCs/>
      </w:rPr>
    </w:tblStylePr>
    <w:tblStylePr w:type="lastCol">
      <w:rPr>
        <w:b/>
        <w:bCs/>
      </w:r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style>
  <w:style w:type="table" w:styleId="MediumList2-Accent4">
    <w:name w:val="Medium List 2 Accent 4"/>
    <w:basedOn w:val="TableNormal"/>
    <w:uiPriority w:val="66"/>
    <w:rsid w:val="00BA51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blStylePr w:type="firstRow">
      <w:rPr>
        <w:sz w:val="24"/>
        <w:szCs w:val="24"/>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tblPr/>
      <w:tcPr>
        <w:tcBorders>
          <w:top w:val="single" w:sz="8" w:space="0" w:color="C398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986D" w:themeColor="accent4"/>
          <w:insideH w:val="nil"/>
          <w:insideV w:val="nil"/>
        </w:tcBorders>
        <w:shd w:val="clear" w:color="auto" w:fill="FFFFFF" w:themeFill="background1"/>
      </w:tcPr>
    </w:tblStylePr>
    <w:tblStylePr w:type="lastCol">
      <w:tblPr/>
      <w:tcPr>
        <w:tcBorders>
          <w:top w:val="nil"/>
          <w:left w:val="single" w:sz="8" w:space="0" w:color="C398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top w:val="nil"/>
          <w:bottom w:val="nil"/>
          <w:insideH w:val="nil"/>
          <w:insideV w:val="nil"/>
        </w:tcBorders>
        <w:shd w:val="clear" w:color="auto" w:fill="F0E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5">
    <w:name w:val="Light Grid Accent 5"/>
    <w:basedOn w:val="TableNormal"/>
    <w:uiPriority w:val="62"/>
    <w:rsid w:val="0072276C"/>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18" w:space="0" w:color="A19574" w:themeColor="accent5"/>
          <w:right w:val="single" w:sz="8" w:space="0" w:color="A19574" w:themeColor="accent5"/>
          <w:insideH w:val="nil"/>
          <w:insideV w:val="single" w:sz="8" w:space="0" w:color="A1957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insideH w:val="nil"/>
          <w:insideV w:val="single" w:sz="8" w:space="0" w:color="A195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shd w:val="clear" w:color="auto" w:fill="E7E4DC" w:themeFill="accent5" w:themeFillTint="3F"/>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shd w:val="clear" w:color="auto" w:fill="E7E4DC" w:themeFill="accent5" w:themeFillTint="3F"/>
      </w:tcPr>
    </w:tblStylePr>
    <w:tblStylePr w:type="band2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tcPr>
    </w:tblStylePr>
  </w:style>
  <w:style w:type="paragraph" w:styleId="Header">
    <w:name w:val="header"/>
    <w:basedOn w:val="Normal"/>
    <w:link w:val="HeaderChar"/>
    <w:uiPriority w:val="99"/>
    <w:unhideWhenUsed/>
    <w:rsid w:val="00325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3DB"/>
  </w:style>
  <w:style w:type="paragraph" w:styleId="Footer">
    <w:name w:val="footer"/>
    <w:basedOn w:val="Normal"/>
    <w:link w:val="FooterChar"/>
    <w:uiPriority w:val="99"/>
    <w:unhideWhenUsed/>
    <w:rsid w:val="00325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3DB"/>
  </w:style>
  <w:style w:type="paragraph" w:styleId="ListParagraph">
    <w:name w:val="List Paragraph"/>
    <w:basedOn w:val="Normal"/>
    <w:uiPriority w:val="34"/>
    <w:qFormat/>
    <w:rsid w:val="00C17635"/>
    <w:pPr>
      <w:ind w:left="720"/>
      <w:contextualSpacing/>
    </w:pPr>
  </w:style>
  <w:style w:type="character" w:styleId="CommentReference">
    <w:name w:val="annotation reference"/>
    <w:basedOn w:val="DefaultParagraphFont"/>
    <w:uiPriority w:val="99"/>
    <w:semiHidden/>
    <w:unhideWhenUsed/>
    <w:rsid w:val="00DC3450"/>
    <w:rPr>
      <w:sz w:val="16"/>
      <w:szCs w:val="16"/>
    </w:rPr>
  </w:style>
  <w:style w:type="paragraph" w:styleId="CommentText">
    <w:name w:val="annotation text"/>
    <w:basedOn w:val="Normal"/>
    <w:link w:val="CommentTextChar"/>
    <w:uiPriority w:val="99"/>
    <w:semiHidden/>
    <w:unhideWhenUsed/>
    <w:rsid w:val="00DC3450"/>
    <w:pPr>
      <w:spacing w:line="240" w:lineRule="auto"/>
    </w:pPr>
    <w:rPr>
      <w:sz w:val="20"/>
      <w:szCs w:val="20"/>
    </w:rPr>
  </w:style>
  <w:style w:type="character" w:customStyle="1" w:styleId="CommentTextChar">
    <w:name w:val="Comment Text Char"/>
    <w:basedOn w:val="DefaultParagraphFont"/>
    <w:link w:val="CommentText"/>
    <w:uiPriority w:val="99"/>
    <w:semiHidden/>
    <w:rsid w:val="00DC3450"/>
    <w:rPr>
      <w:sz w:val="20"/>
      <w:szCs w:val="20"/>
    </w:rPr>
  </w:style>
  <w:style w:type="paragraph" w:styleId="CommentSubject">
    <w:name w:val="annotation subject"/>
    <w:basedOn w:val="CommentText"/>
    <w:next w:val="CommentText"/>
    <w:link w:val="CommentSubjectChar"/>
    <w:uiPriority w:val="99"/>
    <w:semiHidden/>
    <w:unhideWhenUsed/>
    <w:rsid w:val="00DC3450"/>
    <w:rPr>
      <w:b/>
      <w:bCs/>
    </w:rPr>
  </w:style>
  <w:style w:type="character" w:customStyle="1" w:styleId="CommentSubjectChar">
    <w:name w:val="Comment Subject Char"/>
    <w:basedOn w:val="CommentTextChar"/>
    <w:link w:val="CommentSubject"/>
    <w:uiPriority w:val="99"/>
    <w:semiHidden/>
    <w:rsid w:val="00DC3450"/>
    <w:rPr>
      <w:b/>
      <w:bCs/>
      <w:sz w:val="20"/>
      <w:szCs w:val="20"/>
    </w:rPr>
  </w:style>
  <w:style w:type="paragraph" w:styleId="HTMLPreformatted">
    <w:name w:val="HTML Preformatted"/>
    <w:basedOn w:val="Normal"/>
    <w:link w:val="HTMLPreformattedChar"/>
    <w:uiPriority w:val="99"/>
    <w:unhideWhenUsed/>
    <w:rsid w:val="00B51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B51D68"/>
    <w:rPr>
      <w:rFonts w:ascii="Courier New" w:eastAsia="Times New Roman" w:hAnsi="Courier New" w:cs="Courier New"/>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5B5B5B"/>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7A7A7A"/>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7A7A7A"/>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table" w:customStyle="1" w:styleId="a2">
    <w:name w:val="a2"/>
    <w:basedOn w:val="TableNormal"/>
    <w:tblPr>
      <w:tblStyleRowBandSize w:val="1"/>
      <w:tblStyleColBandSize w:val="1"/>
    </w:tblPr>
  </w:style>
  <w:style w:type="table" w:customStyle="1" w:styleId="a3">
    <w:name w:val="a3"/>
    <w:basedOn w:val="TableNormal"/>
    <w:tblPr>
      <w:tblStyleRowBandSize w:val="1"/>
      <w:tblStyleColBandSize w:val="1"/>
    </w:tblPr>
  </w:style>
  <w:style w:type="table" w:customStyle="1" w:styleId="a4">
    <w:name w:val="a4"/>
    <w:basedOn w:val="TableNormal"/>
    <w:tblPr>
      <w:tblStyleRowBandSize w:val="1"/>
      <w:tblStyleColBandSize w:val="1"/>
    </w:tblPr>
  </w:style>
  <w:style w:type="table" w:customStyle="1" w:styleId="a5">
    <w:name w:val="a5"/>
    <w:basedOn w:val="TableNormal"/>
    <w:tblPr>
      <w:tblStyleRowBandSize w:val="1"/>
      <w:tblStyleColBandSize w:val="1"/>
    </w:tblPr>
  </w:style>
  <w:style w:type="table" w:customStyle="1" w:styleId="a6">
    <w:name w:val="a6"/>
    <w:basedOn w:val="TableNormal"/>
    <w:tblPr>
      <w:tblStyleRowBandSize w:val="1"/>
      <w:tblStyleColBandSize w:val="1"/>
    </w:tblPr>
  </w:style>
  <w:style w:type="paragraph" w:styleId="BalloonText">
    <w:name w:val="Balloon Text"/>
    <w:basedOn w:val="Normal"/>
    <w:link w:val="BalloonTextChar"/>
    <w:uiPriority w:val="99"/>
    <w:semiHidden/>
    <w:unhideWhenUsed/>
    <w:rsid w:val="00177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93A"/>
    <w:rPr>
      <w:rFonts w:ascii="Tahoma" w:hAnsi="Tahoma" w:cs="Tahoma"/>
      <w:sz w:val="16"/>
      <w:szCs w:val="16"/>
    </w:rPr>
  </w:style>
  <w:style w:type="table" w:styleId="TableGrid">
    <w:name w:val="Table Grid"/>
    <w:basedOn w:val="TableNormal"/>
    <w:uiPriority w:val="59"/>
    <w:rsid w:val="00BA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BA51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4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57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57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B9" w:themeFill="accent5" w:themeFillTint="7F"/>
      </w:tcPr>
    </w:tblStylePr>
  </w:style>
  <w:style w:type="table" w:styleId="LightShading-Accent5">
    <w:name w:val="Light Shading Accent 5"/>
    <w:basedOn w:val="TableNormal"/>
    <w:uiPriority w:val="60"/>
    <w:rsid w:val="00BA51C4"/>
    <w:pPr>
      <w:spacing w:after="0" w:line="240" w:lineRule="auto"/>
    </w:pPr>
    <w:rPr>
      <w:color w:val="7B7053" w:themeColor="accent5" w:themeShade="BF"/>
    </w:rPr>
    <w:tblPr>
      <w:tblStyleRowBandSize w:val="1"/>
      <w:tblStyleColBandSize w:val="1"/>
      <w:tblBorders>
        <w:top w:val="single" w:sz="8" w:space="0" w:color="A19574" w:themeColor="accent5"/>
        <w:bottom w:val="single" w:sz="8" w:space="0" w:color="A19574" w:themeColor="accent5"/>
      </w:tblBorders>
    </w:tblPr>
    <w:tblStylePr w:type="fir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la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left w:val="nil"/>
          <w:right w:val="nil"/>
          <w:insideH w:val="nil"/>
          <w:insideV w:val="nil"/>
        </w:tcBorders>
        <w:shd w:val="clear" w:color="auto" w:fill="E7E4DC" w:themeFill="accent5" w:themeFillTint="3F"/>
      </w:tcPr>
    </w:tblStylePr>
  </w:style>
  <w:style w:type="table" w:styleId="LightList-Accent5">
    <w:name w:val="Light List Accent 5"/>
    <w:basedOn w:val="TableNormal"/>
    <w:uiPriority w:val="61"/>
    <w:rsid w:val="00BA51C4"/>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blStylePr w:type="firstRow">
      <w:pPr>
        <w:spacing w:before="0" w:after="0" w:line="240" w:lineRule="auto"/>
      </w:pPr>
      <w:rPr>
        <w:b/>
        <w:bCs/>
        <w:color w:val="FFFFFF" w:themeColor="background1"/>
      </w:rPr>
      <w:tblPr/>
      <w:tcPr>
        <w:shd w:val="clear" w:color="auto" w:fill="A19574" w:themeFill="accent5"/>
      </w:tcPr>
    </w:tblStylePr>
    <w:tblStylePr w:type="lastRow">
      <w:pPr>
        <w:spacing w:before="0" w:after="0" w:line="240" w:lineRule="auto"/>
      </w:pPr>
      <w:rPr>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tcBorders>
      </w:tcPr>
    </w:tblStylePr>
    <w:tblStylePr w:type="firstCol">
      <w:rPr>
        <w:b/>
        <w:bCs/>
      </w:rPr>
    </w:tblStylePr>
    <w:tblStylePr w:type="lastCol">
      <w:rPr>
        <w:b/>
        <w:bCs/>
      </w:r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style>
  <w:style w:type="table" w:styleId="MediumList2-Accent4">
    <w:name w:val="Medium List 2 Accent 4"/>
    <w:basedOn w:val="TableNormal"/>
    <w:uiPriority w:val="66"/>
    <w:rsid w:val="00BA51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blStylePr w:type="firstRow">
      <w:rPr>
        <w:sz w:val="24"/>
        <w:szCs w:val="24"/>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tblPr/>
      <w:tcPr>
        <w:tcBorders>
          <w:top w:val="single" w:sz="8" w:space="0" w:color="C398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986D" w:themeColor="accent4"/>
          <w:insideH w:val="nil"/>
          <w:insideV w:val="nil"/>
        </w:tcBorders>
        <w:shd w:val="clear" w:color="auto" w:fill="FFFFFF" w:themeFill="background1"/>
      </w:tcPr>
    </w:tblStylePr>
    <w:tblStylePr w:type="lastCol">
      <w:tblPr/>
      <w:tcPr>
        <w:tcBorders>
          <w:top w:val="nil"/>
          <w:left w:val="single" w:sz="8" w:space="0" w:color="C398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top w:val="nil"/>
          <w:bottom w:val="nil"/>
          <w:insideH w:val="nil"/>
          <w:insideV w:val="nil"/>
        </w:tcBorders>
        <w:shd w:val="clear" w:color="auto" w:fill="F0E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5">
    <w:name w:val="Light Grid Accent 5"/>
    <w:basedOn w:val="TableNormal"/>
    <w:uiPriority w:val="62"/>
    <w:rsid w:val="0072276C"/>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18" w:space="0" w:color="A19574" w:themeColor="accent5"/>
          <w:right w:val="single" w:sz="8" w:space="0" w:color="A19574" w:themeColor="accent5"/>
          <w:insideH w:val="nil"/>
          <w:insideV w:val="single" w:sz="8" w:space="0" w:color="A1957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insideH w:val="nil"/>
          <w:insideV w:val="single" w:sz="8" w:space="0" w:color="A195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shd w:val="clear" w:color="auto" w:fill="E7E4DC" w:themeFill="accent5" w:themeFillTint="3F"/>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shd w:val="clear" w:color="auto" w:fill="E7E4DC" w:themeFill="accent5" w:themeFillTint="3F"/>
      </w:tcPr>
    </w:tblStylePr>
    <w:tblStylePr w:type="band2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tcPr>
    </w:tblStylePr>
  </w:style>
  <w:style w:type="paragraph" w:styleId="Header">
    <w:name w:val="header"/>
    <w:basedOn w:val="Normal"/>
    <w:link w:val="HeaderChar"/>
    <w:uiPriority w:val="99"/>
    <w:unhideWhenUsed/>
    <w:rsid w:val="00325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3DB"/>
  </w:style>
  <w:style w:type="paragraph" w:styleId="Footer">
    <w:name w:val="footer"/>
    <w:basedOn w:val="Normal"/>
    <w:link w:val="FooterChar"/>
    <w:uiPriority w:val="99"/>
    <w:unhideWhenUsed/>
    <w:rsid w:val="00325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3DB"/>
  </w:style>
  <w:style w:type="paragraph" w:styleId="ListParagraph">
    <w:name w:val="List Paragraph"/>
    <w:basedOn w:val="Normal"/>
    <w:uiPriority w:val="34"/>
    <w:qFormat/>
    <w:rsid w:val="00C17635"/>
    <w:pPr>
      <w:ind w:left="720"/>
      <w:contextualSpacing/>
    </w:pPr>
  </w:style>
  <w:style w:type="character" w:styleId="CommentReference">
    <w:name w:val="annotation reference"/>
    <w:basedOn w:val="DefaultParagraphFont"/>
    <w:uiPriority w:val="99"/>
    <w:semiHidden/>
    <w:unhideWhenUsed/>
    <w:rsid w:val="00DC3450"/>
    <w:rPr>
      <w:sz w:val="16"/>
      <w:szCs w:val="16"/>
    </w:rPr>
  </w:style>
  <w:style w:type="paragraph" w:styleId="CommentText">
    <w:name w:val="annotation text"/>
    <w:basedOn w:val="Normal"/>
    <w:link w:val="CommentTextChar"/>
    <w:uiPriority w:val="99"/>
    <w:semiHidden/>
    <w:unhideWhenUsed/>
    <w:rsid w:val="00DC3450"/>
    <w:pPr>
      <w:spacing w:line="240" w:lineRule="auto"/>
    </w:pPr>
    <w:rPr>
      <w:sz w:val="20"/>
      <w:szCs w:val="20"/>
    </w:rPr>
  </w:style>
  <w:style w:type="character" w:customStyle="1" w:styleId="CommentTextChar">
    <w:name w:val="Comment Text Char"/>
    <w:basedOn w:val="DefaultParagraphFont"/>
    <w:link w:val="CommentText"/>
    <w:uiPriority w:val="99"/>
    <w:semiHidden/>
    <w:rsid w:val="00DC3450"/>
    <w:rPr>
      <w:sz w:val="20"/>
      <w:szCs w:val="20"/>
    </w:rPr>
  </w:style>
  <w:style w:type="paragraph" w:styleId="CommentSubject">
    <w:name w:val="annotation subject"/>
    <w:basedOn w:val="CommentText"/>
    <w:next w:val="CommentText"/>
    <w:link w:val="CommentSubjectChar"/>
    <w:uiPriority w:val="99"/>
    <w:semiHidden/>
    <w:unhideWhenUsed/>
    <w:rsid w:val="00DC3450"/>
    <w:rPr>
      <w:b/>
      <w:bCs/>
    </w:rPr>
  </w:style>
  <w:style w:type="character" w:customStyle="1" w:styleId="CommentSubjectChar">
    <w:name w:val="Comment Subject Char"/>
    <w:basedOn w:val="CommentTextChar"/>
    <w:link w:val="CommentSubject"/>
    <w:uiPriority w:val="99"/>
    <w:semiHidden/>
    <w:rsid w:val="00DC3450"/>
    <w:rPr>
      <w:b/>
      <w:bCs/>
      <w:sz w:val="20"/>
      <w:szCs w:val="20"/>
    </w:rPr>
  </w:style>
  <w:style w:type="paragraph" w:styleId="HTMLPreformatted">
    <w:name w:val="HTML Preformatted"/>
    <w:basedOn w:val="Normal"/>
    <w:link w:val="HTMLPreformattedChar"/>
    <w:uiPriority w:val="99"/>
    <w:unhideWhenUsed/>
    <w:rsid w:val="00B51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B51D68"/>
    <w:rPr>
      <w:rFonts w:ascii="Courier New" w:eastAsia="Times New Roman"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F84C-8C27-402A-92FA-B51714AE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9941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PS-SP Canada</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Manning, Kerri</cp:lastModifiedBy>
  <cp:revision>2</cp:revision>
  <cp:lastPrinted>2017-03-07T17:24:00Z</cp:lastPrinted>
  <dcterms:created xsi:type="dcterms:W3CDTF">2017-03-09T18:31:00Z</dcterms:created>
  <dcterms:modified xsi:type="dcterms:W3CDTF">2017-03-09T18:31:00Z</dcterms:modified>
</cp:coreProperties>
</file>